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77" w:rsidRPr="006D6677" w:rsidRDefault="006D6677" w:rsidP="006D6677">
      <w:pPr>
        <w:widowControl/>
        <w:overflowPunct/>
        <w:autoSpaceDE/>
        <w:autoSpaceDN/>
        <w:adjustRightInd/>
        <w:jc w:val="center"/>
        <w:textAlignment w:val="auto"/>
        <w:rPr>
          <w:rFonts w:ascii="Arial" w:hAnsi="Arial" w:cs="Arial"/>
          <w:b/>
          <w:sz w:val="28"/>
          <w:szCs w:val="28"/>
          <w:lang w:eastAsia="en-US"/>
        </w:rPr>
      </w:pPr>
      <w:bookmarkStart w:id="0" w:name="_GoBack"/>
      <w:bookmarkEnd w:id="0"/>
      <w:r w:rsidRPr="006D6677">
        <w:rPr>
          <w:rFonts w:ascii="Arial" w:hAnsi="Arial" w:cs="Arial"/>
          <w:b/>
          <w:sz w:val="28"/>
          <w:szCs w:val="28"/>
          <w:lang w:eastAsia="en-US"/>
        </w:rPr>
        <w:t>Regionalt standardisert pasientforløp</w:t>
      </w:r>
    </w:p>
    <w:p w:rsidR="006D6677" w:rsidRPr="006D6677" w:rsidRDefault="006D6677" w:rsidP="006D6677">
      <w:pPr>
        <w:widowControl/>
        <w:overflowPunct/>
        <w:autoSpaceDE/>
        <w:autoSpaceDN/>
        <w:adjustRightInd/>
        <w:jc w:val="center"/>
        <w:textAlignment w:val="auto"/>
        <w:rPr>
          <w:rFonts w:ascii="Arial" w:hAnsi="Arial" w:cs="Arial"/>
          <w:b/>
          <w:sz w:val="28"/>
          <w:szCs w:val="28"/>
          <w:lang w:eastAsia="en-US"/>
        </w:rPr>
      </w:pPr>
      <w:r w:rsidRPr="006D6677">
        <w:rPr>
          <w:rFonts w:ascii="Arial" w:hAnsi="Arial" w:cs="Arial"/>
          <w:b/>
          <w:sz w:val="28"/>
          <w:szCs w:val="28"/>
          <w:lang w:eastAsia="en-US"/>
        </w:rPr>
        <w:t>Kreft i spiserør og magesekk</w:t>
      </w:r>
    </w:p>
    <w:p w:rsidR="006D6677" w:rsidRPr="006D6677" w:rsidRDefault="006D6677" w:rsidP="006D6677">
      <w:pPr>
        <w:widowControl/>
        <w:overflowPunct/>
        <w:autoSpaceDE/>
        <w:autoSpaceDN/>
        <w:adjustRightInd/>
        <w:jc w:val="center"/>
        <w:textAlignment w:val="auto"/>
        <w:rPr>
          <w:rFonts w:ascii="Arial" w:hAnsi="Arial" w:cs="Arial"/>
          <w:b/>
          <w:szCs w:val="24"/>
          <w:lang w:eastAsia="en-US"/>
        </w:rPr>
      </w:pPr>
    </w:p>
    <w:p w:rsidR="006D6677" w:rsidRPr="0028291B" w:rsidRDefault="006D6677" w:rsidP="006D6677">
      <w:pPr>
        <w:widowControl/>
        <w:overflowPunct/>
        <w:autoSpaceDE/>
        <w:autoSpaceDN/>
        <w:adjustRightInd/>
        <w:textAlignment w:val="auto"/>
        <w:rPr>
          <w:rFonts w:ascii="Arial" w:hAnsi="Arial" w:cs="Arial"/>
          <w:b/>
          <w:sz w:val="22"/>
          <w:szCs w:val="22"/>
          <w:lang w:eastAsia="en-US"/>
        </w:rPr>
      </w:pPr>
    </w:p>
    <w:p w:rsidR="006D6677" w:rsidRPr="0028291B" w:rsidRDefault="006D6677" w:rsidP="006D6677">
      <w:pPr>
        <w:widowControl/>
        <w:overflowPunct/>
        <w:autoSpaceDE/>
        <w:autoSpaceDN/>
        <w:adjustRightInd/>
        <w:textAlignment w:val="auto"/>
        <w:rPr>
          <w:rFonts w:ascii="Arial" w:hAnsi="Arial" w:cs="Arial"/>
          <w:sz w:val="22"/>
          <w:szCs w:val="22"/>
          <w:lang w:eastAsia="en-US"/>
        </w:rPr>
      </w:pPr>
      <w:r w:rsidRPr="0028291B">
        <w:rPr>
          <w:rFonts w:ascii="Arial" w:hAnsi="Arial" w:cs="Arial"/>
          <w:b/>
          <w:sz w:val="22"/>
          <w:szCs w:val="22"/>
          <w:lang w:eastAsia="en-US"/>
        </w:rPr>
        <w:t xml:space="preserve">Bakgrunn: </w:t>
      </w:r>
      <w:r w:rsidRPr="0028291B">
        <w:rPr>
          <w:rFonts w:ascii="Arial" w:hAnsi="Arial" w:cs="Arial"/>
          <w:sz w:val="22"/>
          <w:szCs w:val="22"/>
          <w:lang w:eastAsia="en-US"/>
        </w:rPr>
        <w:t xml:space="preserve">Regionalt standardisert pasientforløp for kreft i spiserør og magesekk har som mål å heve kvaliteten på kreftomsorgen i regionen for pasienter med disse diagnosene. Videre er målet å bedre samhandlingen mellom fastlegene og spesialisthelsetjenesten, mellom helseforetakene og internt i det enkelte helseforetak. Dette vil legge grunnlaget for mer forutsigbarhet for pasientene og rask diagnostikk og behandling uten ikke-medisinsk begrunnet ventetid. </w:t>
      </w:r>
    </w:p>
    <w:p w:rsidR="006D6677" w:rsidRPr="0028291B" w:rsidRDefault="006D6677" w:rsidP="006D6677">
      <w:pPr>
        <w:widowControl/>
        <w:overflowPunct/>
        <w:autoSpaceDE/>
        <w:autoSpaceDN/>
        <w:adjustRightInd/>
        <w:textAlignment w:val="auto"/>
        <w:rPr>
          <w:rFonts w:ascii="Arial" w:hAnsi="Arial" w:cs="Arial"/>
          <w:sz w:val="22"/>
          <w:szCs w:val="22"/>
          <w:lang w:eastAsia="en-US"/>
        </w:rPr>
      </w:pPr>
      <w:r w:rsidRPr="0028291B">
        <w:rPr>
          <w:rFonts w:ascii="Arial" w:hAnsi="Arial" w:cs="Arial"/>
          <w:sz w:val="22"/>
          <w:szCs w:val="22"/>
          <w:lang w:eastAsia="en-US"/>
        </w:rPr>
        <w:t>Det standardiserte pasientforløpet er basert på nasjonale faglige retningslinjer og skal være normgivende. Med utgangspunkt i pakkeforløpet skal et individuelt forløp for hver enkelt pasient tilrettelegges.</w:t>
      </w:r>
    </w:p>
    <w:p w:rsidR="006D6677" w:rsidRPr="0028291B" w:rsidRDefault="006D6677" w:rsidP="006D6677">
      <w:pPr>
        <w:widowControl/>
        <w:overflowPunct/>
        <w:autoSpaceDE/>
        <w:autoSpaceDN/>
        <w:adjustRightInd/>
        <w:textAlignment w:val="auto"/>
        <w:rPr>
          <w:rFonts w:ascii="Arial" w:hAnsi="Arial" w:cs="Arial"/>
          <w:sz w:val="22"/>
          <w:szCs w:val="22"/>
          <w:lang w:eastAsia="en-US"/>
        </w:rPr>
      </w:pPr>
      <w:r w:rsidRPr="0028291B">
        <w:rPr>
          <w:rFonts w:ascii="Arial" w:hAnsi="Arial" w:cs="Arial"/>
          <w:sz w:val="22"/>
          <w:szCs w:val="22"/>
          <w:lang w:eastAsia="en-US"/>
        </w:rPr>
        <w:t>Det standardiserte pasientforløpet tar for seg forløpet fra pasienten oppsøker fastlege og det konkluderes med mistanke om kreft i spiserør eller magesekk, via henvisning til spesialisthelsetjenesten, utredning og behandling samt oppfølging og kontroller i etterkant.</w:t>
      </w:r>
    </w:p>
    <w:p w:rsidR="006D6677" w:rsidRPr="0028291B" w:rsidRDefault="006D6677" w:rsidP="006D6677">
      <w:pPr>
        <w:widowControl/>
        <w:overflowPunct/>
        <w:autoSpaceDE/>
        <w:autoSpaceDN/>
        <w:adjustRightInd/>
        <w:textAlignment w:val="auto"/>
        <w:rPr>
          <w:rFonts w:ascii="Arial" w:hAnsi="Arial" w:cs="Arial"/>
          <w:sz w:val="22"/>
          <w:szCs w:val="22"/>
          <w:lang w:eastAsia="en-US"/>
        </w:rPr>
      </w:pPr>
    </w:p>
    <w:p w:rsidR="006D6677" w:rsidRPr="0028291B" w:rsidRDefault="006D6677" w:rsidP="006D6677">
      <w:pPr>
        <w:widowControl/>
        <w:overflowPunct/>
        <w:autoSpaceDE/>
        <w:autoSpaceDN/>
        <w:adjustRightInd/>
        <w:textAlignment w:val="auto"/>
        <w:rPr>
          <w:rFonts w:ascii="Arial" w:hAnsi="Arial" w:cs="Arial"/>
          <w:sz w:val="22"/>
          <w:szCs w:val="22"/>
          <w:lang w:eastAsia="en-US"/>
        </w:rPr>
      </w:pPr>
      <w:r w:rsidRPr="0028291B">
        <w:rPr>
          <w:rFonts w:ascii="Arial" w:hAnsi="Arial" w:cs="Arial"/>
          <w:b/>
          <w:sz w:val="22"/>
          <w:szCs w:val="22"/>
          <w:lang w:eastAsia="en-US"/>
        </w:rPr>
        <w:t>Regional samhandling:</w:t>
      </w:r>
      <w:r w:rsidRPr="0028291B">
        <w:rPr>
          <w:rFonts w:ascii="Arial" w:hAnsi="Arial" w:cs="Arial"/>
          <w:sz w:val="22"/>
          <w:szCs w:val="22"/>
          <w:lang w:eastAsia="en-US"/>
        </w:rPr>
        <w:t xml:space="preserve"> Kurativ behandling av kreft i spiserør og magesekk har allerede i flere år vært sentralisert til St. Olavs Hospital. Deler av utredning, perioperativ kjemoterapi, oppfølging og elementer i den palliative behandlingen har skjedd i nært samarbeid med pasientens lokalsykehus og flere spesialiteter (gastroenterologisk kirurgi, onkologi, radiologi, gastroenterologi, patologi og anestesi). Det regionale standardiserte pasientforløpet legger opp til å kontinuere denne regionale, multidisiplinære samhandlingen. </w:t>
      </w:r>
    </w:p>
    <w:p w:rsidR="006D6677" w:rsidRPr="0028291B" w:rsidRDefault="006D6677" w:rsidP="006D6677">
      <w:pPr>
        <w:widowControl/>
        <w:overflowPunct/>
        <w:autoSpaceDE/>
        <w:autoSpaceDN/>
        <w:adjustRightInd/>
        <w:textAlignment w:val="auto"/>
        <w:rPr>
          <w:rFonts w:ascii="Arial" w:hAnsi="Arial" w:cs="Arial"/>
          <w:sz w:val="22"/>
          <w:szCs w:val="22"/>
          <w:lang w:eastAsia="en-US"/>
        </w:rPr>
      </w:pPr>
    </w:p>
    <w:p w:rsidR="006D6677" w:rsidRPr="006D6677" w:rsidRDefault="006D6677" w:rsidP="006D6677">
      <w:pPr>
        <w:widowControl/>
        <w:overflowPunct/>
        <w:autoSpaceDE/>
        <w:autoSpaceDN/>
        <w:adjustRightInd/>
        <w:textAlignment w:val="auto"/>
        <w:rPr>
          <w:rFonts w:ascii="Arial" w:eastAsia="MS Mincho" w:hAnsi="Arial" w:cs="Arial"/>
          <w:sz w:val="22"/>
          <w:szCs w:val="22"/>
        </w:rPr>
      </w:pPr>
      <w:r w:rsidRPr="006D6677">
        <w:rPr>
          <w:rFonts w:ascii="Arial" w:eastAsia="MS Mincho" w:hAnsi="Arial" w:cs="Arial"/>
          <w:b/>
          <w:sz w:val="22"/>
          <w:szCs w:val="22"/>
        </w:rPr>
        <w:t xml:space="preserve">Kreft i spiserør og magesekk: </w:t>
      </w:r>
      <w:r w:rsidRPr="006D6677">
        <w:rPr>
          <w:rFonts w:ascii="Arial" w:eastAsia="MS Mincho" w:hAnsi="Arial" w:cs="Arial"/>
          <w:sz w:val="22"/>
          <w:szCs w:val="22"/>
        </w:rPr>
        <w:t xml:space="preserve">Det diagnostiseres årlig rundt 250 nye tilfeller av kreft i spiserøret og 450 nye tilfeller av kreft i magesekken i Norge. Begge kreftformer forekommer hyppigere hos menn enn hos kvinner, særlig gjelder dette kreft i spiserøret. Gjennomsnittsalder ved diagnosetidspunktet er 70 år for begge kreftformene. Forekomsten av kreft i magesekken er avtagende, mens forekomsten av kreft i spiserøret er økende, særlig forekomsten av adenokarsinomer i nedre del av spiserøret. Begge kreftformer regnes som alvorlige typer av kreft, og prognosen er total sett ikke spesielt god, selv etter omfattende behandling. </w:t>
      </w:r>
    </w:p>
    <w:p w:rsidR="006D6677" w:rsidRPr="006D6677" w:rsidRDefault="006D6677" w:rsidP="006D6677">
      <w:pPr>
        <w:widowControl/>
        <w:overflowPunct/>
        <w:autoSpaceDE/>
        <w:autoSpaceDN/>
        <w:adjustRightInd/>
        <w:textAlignment w:val="auto"/>
        <w:rPr>
          <w:rFonts w:ascii="Arial" w:eastAsia="MS Mincho" w:hAnsi="Arial" w:cs="Arial"/>
          <w:sz w:val="22"/>
          <w:szCs w:val="22"/>
        </w:rPr>
      </w:pPr>
    </w:p>
    <w:p w:rsidR="006D6677" w:rsidRPr="006D6677" w:rsidRDefault="006D6677" w:rsidP="006D6677">
      <w:pPr>
        <w:widowControl/>
        <w:overflowPunct/>
        <w:autoSpaceDE/>
        <w:autoSpaceDN/>
        <w:adjustRightInd/>
        <w:textAlignment w:val="auto"/>
        <w:rPr>
          <w:rFonts w:ascii="Arial" w:hAnsi="Arial" w:cs="Arial"/>
          <w:sz w:val="22"/>
          <w:szCs w:val="22"/>
        </w:rPr>
      </w:pPr>
      <w:r w:rsidRPr="006D6677">
        <w:rPr>
          <w:rFonts w:ascii="Arial" w:hAnsi="Arial" w:cs="Arial"/>
          <w:sz w:val="22"/>
          <w:szCs w:val="22"/>
        </w:rPr>
        <w:t xml:space="preserve">De fleste pasienter som får diagnostisert kreft i spiserør eller magesekk, f.eks. ved gastroskopi og/eller CT, vil trenge ytterligere forundersøkelser før endelig beslutning om videre behandling kan tas. Sykdomsutbredelsen må kartlegges best mulig og pasientens generelle helsetilstand må vurderes med tanke på om svulsten kan/skal/bør opereres (og på hvilken måte) og om pasienten er i stand til å tåle den behandlingen som vil være den optimale. Summen av disse forundersøkelsene danner til slutt grunnlaget for beslutning om anbefalt videre behandling. Denne beslutningen tas i et såkalt MDT-møte (multidisiplinært team møte) hvor både kirurger, onkologer og radiologer er til stede.  </w:t>
      </w:r>
    </w:p>
    <w:p w:rsidR="006D6677" w:rsidRPr="006D6677" w:rsidRDefault="006D6677" w:rsidP="006D6677">
      <w:pPr>
        <w:widowControl/>
        <w:overflowPunct/>
        <w:autoSpaceDE/>
        <w:autoSpaceDN/>
        <w:adjustRightInd/>
        <w:textAlignment w:val="auto"/>
        <w:rPr>
          <w:rFonts w:ascii="Arial" w:hAnsi="Arial" w:cs="Arial"/>
          <w:sz w:val="22"/>
          <w:szCs w:val="22"/>
        </w:rPr>
      </w:pPr>
    </w:p>
    <w:p w:rsidR="006D6677" w:rsidRPr="006D6677" w:rsidRDefault="006D6677" w:rsidP="006D6677">
      <w:pPr>
        <w:widowControl/>
        <w:overflowPunct/>
        <w:autoSpaceDE/>
        <w:autoSpaceDN/>
        <w:adjustRightInd/>
        <w:textAlignment w:val="auto"/>
        <w:rPr>
          <w:rFonts w:ascii="Arial" w:hAnsi="Arial" w:cs="Arial"/>
          <w:sz w:val="22"/>
          <w:szCs w:val="22"/>
        </w:rPr>
      </w:pPr>
    </w:p>
    <w:p w:rsidR="006D6677" w:rsidRPr="006D6677" w:rsidRDefault="006D6677" w:rsidP="006D6677">
      <w:pPr>
        <w:widowControl/>
        <w:overflowPunct/>
        <w:autoSpaceDE/>
        <w:autoSpaceDN/>
        <w:adjustRightInd/>
        <w:textAlignment w:val="auto"/>
        <w:rPr>
          <w:rFonts w:ascii="Arial" w:hAnsi="Arial" w:cs="Arial"/>
          <w:sz w:val="22"/>
          <w:szCs w:val="22"/>
        </w:rPr>
      </w:pPr>
      <w:r w:rsidRPr="006D6677">
        <w:rPr>
          <w:rFonts w:ascii="Arial" w:hAnsi="Arial" w:cs="Arial"/>
          <w:b/>
          <w:sz w:val="22"/>
          <w:szCs w:val="22"/>
        </w:rPr>
        <w:t>Prosess:</w:t>
      </w:r>
      <w:r w:rsidRPr="006D6677">
        <w:rPr>
          <w:rFonts w:ascii="Arial" w:hAnsi="Arial" w:cs="Arial"/>
          <w:sz w:val="22"/>
          <w:szCs w:val="22"/>
        </w:rPr>
        <w:t xml:space="preserve"> Arbeidet med Regionalt standardisert pasientforløp, kreft i spiserør og magesekk, er en del av det regionale kreftbehandlingsprogrammet og de nasjonale pakkeforløpene for kreft. </w:t>
      </w:r>
      <w:r w:rsidR="00727C6B">
        <w:rPr>
          <w:rFonts w:ascii="Arial" w:hAnsi="Arial" w:cs="Arial"/>
          <w:sz w:val="22"/>
          <w:szCs w:val="22"/>
        </w:rPr>
        <w:t>Pasientf</w:t>
      </w:r>
      <w:r w:rsidRPr="006D6677">
        <w:rPr>
          <w:rFonts w:ascii="Arial" w:hAnsi="Arial" w:cs="Arial"/>
          <w:sz w:val="22"/>
          <w:szCs w:val="22"/>
        </w:rPr>
        <w:t>orløpet er utarbei</w:t>
      </w:r>
      <w:r w:rsidR="002D11DA">
        <w:rPr>
          <w:rFonts w:ascii="Arial" w:hAnsi="Arial" w:cs="Arial"/>
          <w:sz w:val="22"/>
          <w:szCs w:val="22"/>
        </w:rPr>
        <w:t xml:space="preserve">det høsten 2015 og ledet av forløpsansvarlig overlege </w:t>
      </w:r>
      <w:r w:rsidRPr="006D6677">
        <w:rPr>
          <w:rFonts w:ascii="Arial" w:hAnsi="Arial" w:cs="Arial"/>
          <w:sz w:val="22"/>
          <w:szCs w:val="22"/>
        </w:rPr>
        <w:t>Gjermund Johnsen (kirurg).</w:t>
      </w:r>
    </w:p>
    <w:p w:rsidR="006D6677" w:rsidRPr="006D6677" w:rsidRDefault="006D6677" w:rsidP="006D6677">
      <w:pPr>
        <w:widowControl/>
        <w:overflowPunct/>
        <w:autoSpaceDE/>
        <w:autoSpaceDN/>
        <w:adjustRightInd/>
        <w:textAlignment w:val="auto"/>
        <w:rPr>
          <w:rFonts w:ascii="Arial" w:hAnsi="Arial" w:cs="Arial"/>
          <w:sz w:val="22"/>
          <w:szCs w:val="22"/>
        </w:rPr>
      </w:pPr>
    </w:p>
    <w:p w:rsidR="00ED57AA" w:rsidRPr="0028291B" w:rsidRDefault="00ED57AA" w:rsidP="00852C59">
      <w:pPr>
        <w:widowControl/>
        <w:overflowPunct/>
        <w:autoSpaceDE/>
        <w:autoSpaceDN/>
        <w:adjustRightInd/>
        <w:textAlignment w:val="auto"/>
        <w:rPr>
          <w:rFonts w:ascii="Arial" w:eastAsia="MS Mincho" w:hAnsi="Arial" w:cs="Arial"/>
          <w:b/>
          <w:sz w:val="22"/>
          <w:szCs w:val="22"/>
        </w:rPr>
      </w:pPr>
    </w:p>
    <w:sectPr w:rsidR="00ED57AA" w:rsidRPr="002829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35" w:rsidRDefault="00E70535">
      <w:r>
        <w:separator/>
      </w:r>
    </w:p>
  </w:endnote>
  <w:endnote w:type="continuationSeparator" w:id="0">
    <w:p w:rsidR="00E70535" w:rsidRDefault="00E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Pr="003333C0" w:rsidRDefault="003D387E">
    <w:pPr>
      <w:pStyle w:val="Bunntekst"/>
      <w:rPr>
        <w:rFonts w:ascii="Arial" w:hAnsi="Arial" w:cs="Arial"/>
        <w:sz w:val="22"/>
        <w:szCs w:val="22"/>
      </w:rPr>
    </w:pPr>
    <w:r w:rsidRPr="003333C0">
      <w:rPr>
        <w:rFonts w:ascii="Arial" w:hAnsi="Arial" w:cs="Arial"/>
        <w:sz w:val="22"/>
        <w:szCs w:val="22"/>
      </w:rPr>
      <w:t>Dok id, EQS:</w:t>
    </w:r>
    <w:r w:rsidR="00942BD7">
      <w:rPr>
        <w:rFonts w:ascii="Arial" w:hAnsi="Arial" w:cs="Arial"/>
        <w:sz w:val="22"/>
        <w:szCs w:val="22"/>
      </w:rPr>
      <w:t xml:space="preserve"> </w:t>
    </w:r>
    <w:r w:rsidR="00855689">
      <w:rPr>
        <w:rFonts w:ascii="Arial" w:hAnsi="Arial" w:cs="Arial"/>
        <w:sz w:val="22"/>
        <w:szCs w:val="22"/>
      </w:rPr>
      <w:t>31277</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sidR="00942BD7">
      <w:rPr>
        <w:rFonts w:ascii="Arial" w:hAnsi="Arial" w:cs="Arial"/>
        <w:sz w:val="20"/>
      </w:rPr>
      <w:t xml:space="preserve"> 1.</w:t>
    </w:r>
    <w:r w:rsidR="00855689">
      <w:rPr>
        <w:rFonts w:ascii="Arial" w:hAnsi="Arial" w:cs="Arial"/>
        <w:sz w:val="20"/>
      </w:rPr>
      <w:t>0</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7A6DF0">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7A6DF0">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35" w:rsidRDefault="00E70535">
      <w:r>
        <w:separator/>
      </w:r>
    </w:p>
  </w:footnote>
  <w:footnote w:type="continuationSeparator" w:id="0">
    <w:p w:rsidR="00E70535" w:rsidRDefault="00E7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Default="003D387E" w:rsidP="009A55F1">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sidR="00811618">
      <w:rPr>
        <w:rFonts w:ascii="Arial" w:hAnsi="Arial" w:cs="Arial"/>
        <w:sz w:val="22"/>
        <w:szCs w:val="22"/>
      </w:rPr>
      <w:t>S</w:t>
    </w:r>
    <w:r>
      <w:rPr>
        <w:rFonts w:ascii="Arial" w:hAnsi="Arial" w:cs="Arial"/>
        <w:sz w:val="22"/>
        <w:szCs w:val="22"/>
      </w:rPr>
      <w:t>tandardisert</w:t>
    </w:r>
    <w:r w:rsidRPr="009A55F1">
      <w:rPr>
        <w:rFonts w:ascii="Arial" w:hAnsi="Arial" w:cs="Arial"/>
        <w:sz w:val="22"/>
        <w:szCs w:val="22"/>
      </w:rPr>
      <w:t xml:space="preserve"> pasientforløp</w:t>
    </w:r>
    <w:r w:rsidR="00942BD7">
      <w:rPr>
        <w:rFonts w:ascii="Arial" w:hAnsi="Arial" w:cs="Arial"/>
        <w:sz w:val="22"/>
        <w:szCs w:val="22"/>
      </w:rPr>
      <w:t>:</w:t>
    </w:r>
  </w:p>
  <w:p w:rsidR="003D387E" w:rsidRPr="009A55F1" w:rsidRDefault="00855689" w:rsidP="009A55F1">
    <w:pPr>
      <w:ind w:left="5661" w:firstLine="3"/>
      <w:jc w:val="right"/>
      <w:rPr>
        <w:rFonts w:ascii="Arial" w:hAnsi="Arial" w:cs="Arial"/>
        <w:sz w:val="22"/>
        <w:szCs w:val="22"/>
      </w:rPr>
    </w:pPr>
    <w:r>
      <w:rPr>
        <w:rFonts w:ascii="Arial" w:hAnsi="Arial" w:cs="Arial"/>
        <w:sz w:val="22"/>
        <w:szCs w:val="22"/>
      </w:rPr>
      <w:t>Kreft i spiserør og magesekk</w:t>
    </w:r>
    <w:r w:rsidR="00A17AA0">
      <w:rPr>
        <w:rFonts w:ascii="Arial" w:hAnsi="Arial" w:cs="Arial"/>
        <w:sz w:val="22"/>
        <w:szCs w:val="22"/>
      </w:rPr>
      <w:t>)</w:t>
    </w:r>
  </w:p>
  <w:p w:rsidR="003D387E" w:rsidRPr="009A55F1" w:rsidRDefault="00855689" w:rsidP="009A55F1">
    <w:pPr>
      <w:ind w:left="5661" w:firstLine="708"/>
      <w:jc w:val="right"/>
      <w:rPr>
        <w:rFonts w:ascii="Arial" w:hAnsi="Arial" w:cs="Arial"/>
        <w:sz w:val="22"/>
        <w:szCs w:val="22"/>
      </w:rPr>
    </w:pPr>
    <w:r>
      <w:rPr>
        <w:rFonts w:ascii="Arial" w:hAnsi="Arial" w:cs="Arial"/>
        <w:sz w:val="22"/>
        <w:szCs w:val="22"/>
      </w:rPr>
      <w:t>Høst</w:t>
    </w:r>
    <w:r w:rsidR="00942BD7">
      <w:rPr>
        <w:rFonts w:ascii="Arial" w:hAnsi="Arial" w:cs="Arial"/>
        <w:sz w:val="22"/>
        <w:szCs w:val="22"/>
      </w:rPr>
      <w:t xml:space="preserve"> 201</w:t>
    </w:r>
    <w:r w:rsidR="003D53D7">
      <w:rPr>
        <w:rFonts w:ascii="Arial" w:hAnsi="Arial" w:cs="Arial"/>
        <w:sz w:val="22"/>
        <w:szCs w:val="22"/>
      </w:rPr>
      <w:t>5</w:t>
    </w: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221"/>
    <w:multiLevelType w:val="hybridMultilevel"/>
    <w:tmpl w:val="BCE074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776E9"/>
    <w:multiLevelType w:val="hybridMultilevel"/>
    <w:tmpl w:val="033C6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461493"/>
    <w:multiLevelType w:val="hybridMultilevel"/>
    <w:tmpl w:val="0E16E30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51698"/>
    <w:multiLevelType w:val="hybridMultilevel"/>
    <w:tmpl w:val="0A9C46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892669"/>
    <w:multiLevelType w:val="hybridMultilevel"/>
    <w:tmpl w:val="6E2E40EE"/>
    <w:lvl w:ilvl="0" w:tplc="F6EA179E">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83C44"/>
    <w:multiLevelType w:val="hybridMultilevel"/>
    <w:tmpl w:val="7090D1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269583F"/>
    <w:multiLevelType w:val="hybridMultilevel"/>
    <w:tmpl w:val="55589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152B57"/>
    <w:multiLevelType w:val="hybridMultilevel"/>
    <w:tmpl w:val="CEB6CF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913B0"/>
    <w:multiLevelType w:val="hybridMultilevel"/>
    <w:tmpl w:val="3E4A2336"/>
    <w:lvl w:ilvl="0" w:tplc="64C4244A">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A4531"/>
    <w:multiLevelType w:val="hybridMultilevel"/>
    <w:tmpl w:val="5AD0603A"/>
    <w:lvl w:ilvl="0" w:tplc="90209F4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53991"/>
    <w:multiLevelType w:val="hybridMultilevel"/>
    <w:tmpl w:val="0B1803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33021"/>
    <w:multiLevelType w:val="hybridMultilevel"/>
    <w:tmpl w:val="1D2EEE7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F6440"/>
    <w:multiLevelType w:val="hybridMultilevel"/>
    <w:tmpl w:val="7BA4DD9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55B8A"/>
    <w:multiLevelType w:val="hybridMultilevel"/>
    <w:tmpl w:val="1F3CA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E37AAD"/>
    <w:multiLevelType w:val="hybridMultilevel"/>
    <w:tmpl w:val="D41CBB40"/>
    <w:lvl w:ilvl="0" w:tplc="18F0EE5E">
      <w:start w:val="1"/>
      <w:numFmt w:val="bullet"/>
      <w:lvlText w:val="•"/>
      <w:lvlJc w:val="left"/>
      <w:pPr>
        <w:tabs>
          <w:tab w:val="num" w:pos="720"/>
        </w:tabs>
        <w:ind w:left="720" w:hanging="360"/>
      </w:pPr>
      <w:rPr>
        <w:rFonts w:ascii="Times New Roman" w:hAnsi="Times New Roman" w:cs="Times New Roman" w:hint="default"/>
      </w:rPr>
    </w:lvl>
    <w:lvl w:ilvl="1" w:tplc="3F4E24F8">
      <w:start w:val="1"/>
      <w:numFmt w:val="decimal"/>
      <w:lvlText w:val="%2."/>
      <w:lvlJc w:val="left"/>
      <w:pPr>
        <w:tabs>
          <w:tab w:val="num" w:pos="1440"/>
        </w:tabs>
        <w:ind w:left="1440" w:hanging="360"/>
      </w:pPr>
    </w:lvl>
    <w:lvl w:ilvl="2" w:tplc="816A467E">
      <w:start w:val="169"/>
      <w:numFmt w:val="bullet"/>
      <w:lvlText w:val="•"/>
      <w:lvlJc w:val="left"/>
      <w:pPr>
        <w:tabs>
          <w:tab w:val="num" w:pos="2160"/>
        </w:tabs>
        <w:ind w:left="2160" w:hanging="360"/>
      </w:pPr>
      <w:rPr>
        <w:rFonts w:ascii="Times New Roman" w:hAnsi="Times New Roman" w:cs="Times New Roman" w:hint="default"/>
      </w:rPr>
    </w:lvl>
    <w:lvl w:ilvl="3" w:tplc="F648E87A">
      <w:start w:val="1"/>
      <w:numFmt w:val="decimal"/>
      <w:pStyle w:val="StilOverskrift2TimesNewRoman14ptUnderstreking"/>
      <w:lvlText w:val="%4."/>
      <w:lvlJc w:val="left"/>
      <w:pPr>
        <w:tabs>
          <w:tab w:val="num" w:pos="2880"/>
        </w:tabs>
        <w:ind w:left="2880" w:hanging="360"/>
      </w:pPr>
    </w:lvl>
    <w:lvl w:ilvl="4" w:tplc="242AAFF6">
      <w:start w:val="1"/>
      <w:numFmt w:val="bullet"/>
      <w:lvlText w:val="•"/>
      <w:lvlJc w:val="left"/>
      <w:pPr>
        <w:tabs>
          <w:tab w:val="num" w:pos="3600"/>
        </w:tabs>
        <w:ind w:left="3600" w:hanging="360"/>
      </w:pPr>
      <w:rPr>
        <w:rFonts w:ascii="Times New Roman" w:hAnsi="Times New Roman" w:cs="Times New Roman" w:hint="default"/>
      </w:rPr>
    </w:lvl>
    <w:lvl w:ilvl="5" w:tplc="F3B88B88">
      <w:start w:val="1"/>
      <w:numFmt w:val="bullet"/>
      <w:lvlText w:val="•"/>
      <w:lvlJc w:val="left"/>
      <w:pPr>
        <w:tabs>
          <w:tab w:val="num" w:pos="4320"/>
        </w:tabs>
        <w:ind w:left="4320" w:hanging="360"/>
      </w:pPr>
      <w:rPr>
        <w:rFonts w:ascii="Times New Roman" w:hAnsi="Times New Roman" w:cs="Times New Roman" w:hint="default"/>
      </w:rPr>
    </w:lvl>
    <w:lvl w:ilvl="6" w:tplc="41EEACD8">
      <w:start w:val="1"/>
      <w:numFmt w:val="bullet"/>
      <w:lvlText w:val="•"/>
      <w:lvlJc w:val="left"/>
      <w:pPr>
        <w:tabs>
          <w:tab w:val="num" w:pos="5040"/>
        </w:tabs>
        <w:ind w:left="5040" w:hanging="360"/>
      </w:pPr>
      <w:rPr>
        <w:rFonts w:ascii="Times New Roman" w:hAnsi="Times New Roman" w:cs="Times New Roman" w:hint="default"/>
      </w:rPr>
    </w:lvl>
    <w:lvl w:ilvl="7" w:tplc="81202A14">
      <w:start w:val="1"/>
      <w:numFmt w:val="bullet"/>
      <w:lvlText w:val="•"/>
      <w:lvlJc w:val="left"/>
      <w:pPr>
        <w:tabs>
          <w:tab w:val="num" w:pos="5760"/>
        </w:tabs>
        <w:ind w:left="5760" w:hanging="360"/>
      </w:pPr>
      <w:rPr>
        <w:rFonts w:ascii="Times New Roman" w:hAnsi="Times New Roman" w:cs="Times New Roman" w:hint="default"/>
      </w:rPr>
    </w:lvl>
    <w:lvl w:ilvl="8" w:tplc="8ACA033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3EC41666"/>
    <w:multiLevelType w:val="hybridMultilevel"/>
    <w:tmpl w:val="002015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F0739BC"/>
    <w:multiLevelType w:val="hybridMultilevel"/>
    <w:tmpl w:val="5978DCF2"/>
    <w:lvl w:ilvl="0" w:tplc="04140001">
      <w:start w:val="1"/>
      <w:numFmt w:val="bullet"/>
      <w:lvlText w:val=""/>
      <w:lvlJc w:val="left"/>
      <w:pPr>
        <w:tabs>
          <w:tab w:val="num" w:pos="360"/>
        </w:tabs>
        <w:ind w:left="360" w:hanging="360"/>
      </w:pPr>
      <w:rPr>
        <w:rFonts w:ascii="Symbol" w:hAnsi="Symbol" w:hint="default"/>
        <w:sz w:val="24"/>
        <w:szCs w:val="24"/>
      </w:rPr>
    </w:lvl>
    <w:lvl w:ilvl="1" w:tplc="04140003" w:tentative="1">
      <w:start w:val="1"/>
      <w:numFmt w:val="bullet"/>
      <w:lvlText w:val="o"/>
      <w:lvlJc w:val="left"/>
      <w:pPr>
        <w:tabs>
          <w:tab w:val="num" w:pos="360"/>
        </w:tabs>
        <w:ind w:left="360" w:hanging="360"/>
      </w:pPr>
      <w:rPr>
        <w:rFonts w:ascii="Courier New" w:hAnsi="Courier New" w:cs="Courier New" w:hint="default"/>
      </w:rPr>
    </w:lvl>
    <w:lvl w:ilvl="2" w:tplc="04140005" w:tentative="1">
      <w:start w:val="1"/>
      <w:numFmt w:val="bullet"/>
      <w:lvlText w:val=""/>
      <w:lvlJc w:val="left"/>
      <w:pPr>
        <w:tabs>
          <w:tab w:val="num" w:pos="1080"/>
        </w:tabs>
        <w:ind w:left="1080" w:hanging="360"/>
      </w:pPr>
      <w:rPr>
        <w:rFonts w:ascii="Wingdings" w:hAnsi="Wingdings" w:hint="default"/>
      </w:rPr>
    </w:lvl>
    <w:lvl w:ilvl="3" w:tplc="04140001" w:tentative="1">
      <w:start w:val="1"/>
      <w:numFmt w:val="bullet"/>
      <w:lvlText w:val=""/>
      <w:lvlJc w:val="left"/>
      <w:pPr>
        <w:tabs>
          <w:tab w:val="num" w:pos="1800"/>
        </w:tabs>
        <w:ind w:left="1800" w:hanging="360"/>
      </w:pPr>
      <w:rPr>
        <w:rFonts w:ascii="Symbol" w:hAnsi="Symbol" w:hint="default"/>
      </w:rPr>
    </w:lvl>
    <w:lvl w:ilvl="4" w:tplc="04140003" w:tentative="1">
      <w:start w:val="1"/>
      <w:numFmt w:val="bullet"/>
      <w:lvlText w:val="o"/>
      <w:lvlJc w:val="left"/>
      <w:pPr>
        <w:tabs>
          <w:tab w:val="num" w:pos="2520"/>
        </w:tabs>
        <w:ind w:left="2520" w:hanging="360"/>
      </w:pPr>
      <w:rPr>
        <w:rFonts w:ascii="Courier New" w:hAnsi="Courier New" w:cs="Courier New" w:hint="default"/>
      </w:rPr>
    </w:lvl>
    <w:lvl w:ilvl="5" w:tplc="04140005" w:tentative="1">
      <w:start w:val="1"/>
      <w:numFmt w:val="bullet"/>
      <w:lvlText w:val=""/>
      <w:lvlJc w:val="left"/>
      <w:pPr>
        <w:tabs>
          <w:tab w:val="num" w:pos="3240"/>
        </w:tabs>
        <w:ind w:left="3240" w:hanging="360"/>
      </w:pPr>
      <w:rPr>
        <w:rFonts w:ascii="Wingdings" w:hAnsi="Wingdings" w:hint="default"/>
      </w:rPr>
    </w:lvl>
    <w:lvl w:ilvl="6" w:tplc="04140001" w:tentative="1">
      <w:start w:val="1"/>
      <w:numFmt w:val="bullet"/>
      <w:lvlText w:val=""/>
      <w:lvlJc w:val="left"/>
      <w:pPr>
        <w:tabs>
          <w:tab w:val="num" w:pos="3960"/>
        </w:tabs>
        <w:ind w:left="3960" w:hanging="360"/>
      </w:pPr>
      <w:rPr>
        <w:rFonts w:ascii="Symbol" w:hAnsi="Symbol" w:hint="default"/>
      </w:rPr>
    </w:lvl>
    <w:lvl w:ilvl="7" w:tplc="04140003" w:tentative="1">
      <w:start w:val="1"/>
      <w:numFmt w:val="bullet"/>
      <w:lvlText w:val="o"/>
      <w:lvlJc w:val="left"/>
      <w:pPr>
        <w:tabs>
          <w:tab w:val="num" w:pos="4680"/>
        </w:tabs>
        <w:ind w:left="4680" w:hanging="360"/>
      </w:pPr>
      <w:rPr>
        <w:rFonts w:ascii="Courier New" w:hAnsi="Courier New" w:cs="Courier New" w:hint="default"/>
      </w:rPr>
    </w:lvl>
    <w:lvl w:ilvl="8" w:tplc="0414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09A1F1A"/>
    <w:multiLevelType w:val="hybridMultilevel"/>
    <w:tmpl w:val="A7945B62"/>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5131CB"/>
    <w:multiLevelType w:val="hybridMultilevel"/>
    <w:tmpl w:val="E8BAB67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A5D92"/>
    <w:multiLevelType w:val="hybridMultilevel"/>
    <w:tmpl w:val="F782EED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B3C5E"/>
    <w:multiLevelType w:val="hybridMultilevel"/>
    <w:tmpl w:val="3766B2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B4B3E"/>
    <w:multiLevelType w:val="hybridMultilevel"/>
    <w:tmpl w:val="C19884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1A90321"/>
    <w:multiLevelType w:val="hybridMultilevel"/>
    <w:tmpl w:val="64405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CA06D5"/>
    <w:multiLevelType w:val="hybridMultilevel"/>
    <w:tmpl w:val="C1E038B4"/>
    <w:lvl w:ilvl="0" w:tplc="04140001">
      <w:start w:val="1"/>
      <w:numFmt w:val="bullet"/>
      <w:lvlText w:val=""/>
      <w:lvlJc w:val="left"/>
      <w:pPr>
        <w:tabs>
          <w:tab w:val="num" w:pos="1620"/>
        </w:tabs>
        <w:ind w:left="1620" w:hanging="360"/>
      </w:pPr>
      <w:rPr>
        <w:rFonts w:ascii="Symbol" w:hAnsi="Symbol" w:hint="default"/>
      </w:rPr>
    </w:lvl>
    <w:lvl w:ilvl="1" w:tplc="04140003">
      <w:start w:val="1"/>
      <w:numFmt w:val="bullet"/>
      <w:lvlText w:val="o"/>
      <w:lvlJc w:val="left"/>
      <w:pPr>
        <w:tabs>
          <w:tab w:val="num" w:pos="2145"/>
        </w:tabs>
        <w:ind w:left="2145" w:hanging="360"/>
      </w:pPr>
      <w:rPr>
        <w:rFonts w:ascii="Courier New" w:hAnsi="Courier New" w:cs="Courier New" w:hint="default"/>
      </w:rPr>
    </w:lvl>
    <w:lvl w:ilvl="2" w:tplc="04140005">
      <w:start w:val="1"/>
      <w:numFmt w:val="bullet"/>
      <w:lvlText w:val=""/>
      <w:lvlJc w:val="left"/>
      <w:pPr>
        <w:tabs>
          <w:tab w:val="num" w:pos="2865"/>
        </w:tabs>
        <w:ind w:left="2865" w:hanging="360"/>
      </w:pPr>
      <w:rPr>
        <w:rFonts w:ascii="Wingdings" w:hAnsi="Wingdings" w:hint="default"/>
      </w:rPr>
    </w:lvl>
    <w:lvl w:ilvl="3" w:tplc="04140001">
      <w:start w:val="1"/>
      <w:numFmt w:val="bullet"/>
      <w:lvlText w:val=""/>
      <w:lvlJc w:val="left"/>
      <w:pPr>
        <w:tabs>
          <w:tab w:val="num" w:pos="3585"/>
        </w:tabs>
        <w:ind w:left="3585" w:hanging="360"/>
      </w:pPr>
      <w:rPr>
        <w:rFonts w:ascii="Symbol" w:hAnsi="Symbol" w:hint="default"/>
      </w:rPr>
    </w:lvl>
    <w:lvl w:ilvl="4" w:tplc="04140003">
      <w:start w:val="1"/>
      <w:numFmt w:val="bullet"/>
      <w:lvlText w:val="o"/>
      <w:lvlJc w:val="left"/>
      <w:pPr>
        <w:tabs>
          <w:tab w:val="num" w:pos="4305"/>
        </w:tabs>
        <w:ind w:left="4305" w:hanging="360"/>
      </w:pPr>
      <w:rPr>
        <w:rFonts w:ascii="Courier New" w:hAnsi="Courier New" w:cs="Courier New" w:hint="default"/>
      </w:rPr>
    </w:lvl>
    <w:lvl w:ilvl="5" w:tplc="04140005">
      <w:start w:val="1"/>
      <w:numFmt w:val="bullet"/>
      <w:lvlText w:val=""/>
      <w:lvlJc w:val="left"/>
      <w:pPr>
        <w:tabs>
          <w:tab w:val="num" w:pos="5025"/>
        </w:tabs>
        <w:ind w:left="5025" w:hanging="360"/>
      </w:pPr>
      <w:rPr>
        <w:rFonts w:ascii="Wingdings" w:hAnsi="Wingdings" w:hint="default"/>
      </w:rPr>
    </w:lvl>
    <w:lvl w:ilvl="6" w:tplc="04140001">
      <w:start w:val="1"/>
      <w:numFmt w:val="bullet"/>
      <w:lvlText w:val=""/>
      <w:lvlJc w:val="left"/>
      <w:pPr>
        <w:tabs>
          <w:tab w:val="num" w:pos="5745"/>
        </w:tabs>
        <w:ind w:left="5745" w:hanging="360"/>
      </w:pPr>
      <w:rPr>
        <w:rFonts w:ascii="Symbol" w:hAnsi="Symbol" w:hint="default"/>
      </w:rPr>
    </w:lvl>
    <w:lvl w:ilvl="7" w:tplc="04140003">
      <w:start w:val="1"/>
      <w:numFmt w:val="bullet"/>
      <w:lvlText w:val="o"/>
      <w:lvlJc w:val="left"/>
      <w:pPr>
        <w:tabs>
          <w:tab w:val="num" w:pos="6465"/>
        </w:tabs>
        <w:ind w:left="6465" w:hanging="360"/>
      </w:pPr>
      <w:rPr>
        <w:rFonts w:ascii="Courier New" w:hAnsi="Courier New" w:cs="Courier New" w:hint="default"/>
      </w:rPr>
    </w:lvl>
    <w:lvl w:ilvl="8" w:tplc="04140005">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54C95B00"/>
    <w:multiLevelType w:val="hybridMultilevel"/>
    <w:tmpl w:val="CF487FA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D7363"/>
    <w:multiLevelType w:val="hybridMultilevel"/>
    <w:tmpl w:val="F30CB0C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75EC3"/>
    <w:multiLevelType w:val="hybridMultilevel"/>
    <w:tmpl w:val="2E108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F05841"/>
    <w:multiLevelType w:val="hybridMultilevel"/>
    <w:tmpl w:val="35CC2BA2"/>
    <w:lvl w:ilvl="0" w:tplc="04140011">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772A45EA"/>
    <w:multiLevelType w:val="hybridMultilevel"/>
    <w:tmpl w:val="3CCCA8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C5C97"/>
    <w:multiLevelType w:val="hybridMultilevel"/>
    <w:tmpl w:val="9508E8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E943C4C"/>
    <w:multiLevelType w:val="hybridMultilevel"/>
    <w:tmpl w:val="F4FE6C9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lvlOverride w:ilvl="0"/>
    <w:lvlOverride w:ilvl="1"/>
    <w:lvlOverride w:ilvl="2"/>
    <w:lvlOverride w:ilvl="3"/>
    <w:lvlOverride w:ilvl="4"/>
    <w:lvlOverride w:ilvl="5"/>
    <w:lvlOverride w:ilvl="6"/>
    <w:lvlOverride w:ilvl="7"/>
    <w:lvlOverride w:ilvl="8"/>
  </w:num>
  <w:num w:numId="3">
    <w:abstractNumId w:val="30"/>
    <w:lvlOverride w:ilvl="0"/>
    <w:lvlOverride w:ilvl="1"/>
    <w:lvlOverride w:ilvl="2"/>
    <w:lvlOverride w:ilvl="3"/>
    <w:lvlOverride w:ilvl="4"/>
    <w:lvlOverride w:ilvl="5"/>
    <w:lvlOverride w:ilvl="6"/>
    <w:lvlOverride w:ilvl="7"/>
    <w:lvlOverride w:ilvl="8"/>
  </w:num>
  <w:num w:numId="4">
    <w:abstractNumId w:val="19"/>
    <w:lvlOverride w:ilvl="0"/>
    <w:lvlOverride w:ilvl="1"/>
    <w:lvlOverride w:ilvl="2"/>
    <w:lvlOverride w:ilvl="3"/>
    <w:lvlOverride w:ilvl="4"/>
    <w:lvlOverride w:ilvl="5"/>
    <w:lvlOverride w:ilvl="6"/>
    <w:lvlOverride w:ilvl="7"/>
    <w:lvlOverride w:ilvl="8"/>
  </w:num>
  <w:num w:numId="5">
    <w:abstractNumId w:val="28"/>
  </w:num>
  <w:num w:numId="6">
    <w:abstractNumId w:val="17"/>
  </w:num>
  <w:num w:numId="7">
    <w:abstractNumId w:val="7"/>
  </w:num>
  <w:num w:numId="8">
    <w:abstractNumId w:val="20"/>
  </w:num>
  <w:num w:numId="9">
    <w:abstractNumId w:val="2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0"/>
  </w:num>
  <w:num w:numId="12">
    <w:abstractNumId w:val="1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3"/>
  </w:num>
  <w:num w:numId="15">
    <w:abstractNumId w:val="23"/>
    <w:lvlOverride w:ilvl="0"/>
    <w:lvlOverride w:ilvl="1"/>
    <w:lvlOverride w:ilvl="2"/>
    <w:lvlOverride w:ilvl="3"/>
    <w:lvlOverride w:ilvl="4"/>
    <w:lvlOverride w:ilvl="5"/>
    <w:lvlOverride w:ilvl="6"/>
    <w:lvlOverride w:ilvl="7"/>
    <w:lvlOverride w:ilvl="8"/>
  </w:num>
  <w:num w:numId="16">
    <w:abstractNumId w:val="21"/>
  </w:num>
  <w:num w:numId="17">
    <w:abstractNumId w:val="29"/>
  </w:num>
  <w:num w:numId="18">
    <w:abstractNumId w:val="15"/>
  </w:num>
  <w:num w:numId="19">
    <w:abstractNumId w:val="13"/>
  </w:num>
  <w:num w:numId="20">
    <w:abstractNumId w:val="22"/>
  </w:num>
  <w:num w:numId="21">
    <w:abstractNumId w:val="6"/>
  </w:num>
  <w:num w:numId="22">
    <w:abstractNumId w:val="26"/>
  </w:num>
  <w:num w:numId="23">
    <w:abstractNumId w:val="8"/>
    <w:lvlOverride w:ilvl="0"/>
    <w:lvlOverride w:ilvl="1"/>
    <w:lvlOverride w:ilvl="2"/>
    <w:lvlOverride w:ilvl="3"/>
    <w:lvlOverride w:ilvl="4"/>
    <w:lvlOverride w:ilvl="5"/>
    <w:lvlOverride w:ilvl="6"/>
    <w:lvlOverride w:ilvl="7"/>
    <w:lvlOverride w:ilvl="8"/>
  </w:num>
  <w:num w:numId="24">
    <w:abstractNumId w:val="1"/>
  </w:num>
  <w:num w:numId="25">
    <w:abstractNumId w:val="18"/>
    <w:lvlOverride w:ilvl="0"/>
    <w:lvlOverride w:ilvl="1"/>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lvlOverride w:ilvl="3">
      <w:startOverride w:val="1"/>
    </w:lvlOverride>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9"/>
  </w:num>
  <w:num w:numId="30">
    <w:abstractNumId w:val="27"/>
  </w:num>
  <w:num w:numId="31">
    <w:abstractNumId w:val="5"/>
  </w:num>
  <w:num w:numId="32">
    <w:abstractNumId w:val="24"/>
    <w:lvlOverride w:ilvl="0"/>
    <w:lvlOverride w:ilvl="1"/>
    <w:lvlOverride w:ilvl="2"/>
    <w:lvlOverride w:ilvl="3"/>
    <w:lvlOverride w:ilvl="4"/>
    <w:lvlOverride w:ilvl="5"/>
    <w:lvlOverride w:ilvl="6"/>
    <w:lvlOverride w:ilvl="7"/>
    <w:lvlOverride w:ilv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0064"/>
    <w:rsid w:val="000042BE"/>
    <w:rsid w:val="00006926"/>
    <w:rsid w:val="00007AD8"/>
    <w:rsid w:val="00007E2C"/>
    <w:rsid w:val="00010A44"/>
    <w:rsid w:val="00023AEA"/>
    <w:rsid w:val="0003303E"/>
    <w:rsid w:val="00043A67"/>
    <w:rsid w:val="00054DEE"/>
    <w:rsid w:val="00061600"/>
    <w:rsid w:val="0006176E"/>
    <w:rsid w:val="00073DF8"/>
    <w:rsid w:val="000A3AD0"/>
    <w:rsid w:val="000A7A00"/>
    <w:rsid w:val="000C4A4F"/>
    <w:rsid w:val="000C7C77"/>
    <w:rsid w:val="000D2781"/>
    <w:rsid w:val="000D406B"/>
    <w:rsid w:val="000E079F"/>
    <w:rsid w:val="000E3371"/>
    <w:rsid w:val="000E3721"/>
    <w:rsid w:val="000F4555"/>
    <w:rsid w:val="00133714"/>
    <w:rsid w:val="00135E8D"/>
    <w:rsid w:val="00141F84"/>
    <w:rsid w:val="00143271"/>
    <w:rsid w:val="00152283"/>
    <w:rsid w:val="00161576"/>
    <w:rsid w:val="00167D3A"/>
    <w:rsid w:val="001901A2"/>
    <w:rsid w:val="0019029E"/>
    <w:rsid w:val="00195E38"/>
    <w:rsid w:val="001B3F22"/>
    <w:rsid w:val="001C524A"/>
    <w:rsid w:val="001D274D"/>
    <w:rsid w:val="001D5B57"/>
    <w:rsid w:val="001E02B6"/>
    <w:rsid w:val="001F130E"/>
    <w:rsid w:val="002137EF"/>
    <w:rsid w:val="002239C7"/>
    <w:rsid w:val="0025294D"/>
    <w:rsid w:val="002550B8"/>
    <w:rsid w:val="00261075"/>
    <w:rsid w:val="0028291B"/>
    <w:rsid w:val="002A4B15"/>
    <w:rsid w:val="002A6701"/>
    <w:rsid w:val="002B6BD4"/>
    <w:rsid w:val="002B70B5"/>
    <w:rsid w:val="002C4033"/>
    <w:rsid w:val="002C643A"/>
    <w:rsid w:val="002D11DA"/>
    <w:rsid w:val="002E61DC"/>
    <w:rsid w:val="0032073C"/>
    <w:rsid w:val="00327FF0"/>
    <w:rsid w:val="003333C0"/>
    <w:rsid w:val="00334F9F"/>
    <w:rsid w:val="003458CE"/>
    <w:rsid w:val="00355FFB"/>
    <w:rsid w:val="00371303"/>
    <w:rsid w:val="003A0BE2"/>
    <w:rsid w:val="003C16B4"/>
    <w:rsid w:val="003C2203"/>
    <w:rsid w:val="003C5ED7"/>
    <w:rsid w:val="003D387E"/>
    <w:rsid w:val="003D53D7"/>
    <w:rsid w:val="003E7DC4"/>
    <w:rsid w:val="003F1A62"/>
    <w:rsid w:val="00421FB1"/>
    <w:rsid w:val="00426ADC"/>
    <w:rsid w:val="00427614"/>
    <w:rsid w:val="0042785F"/>
    <w:rsid w:val="00431AB1"/>
    <w:rsid w:val="00435C01"/>
    <w:rsid w:val="00455E6C"/>
    <w:rsid w:val="004A3EC6"/>
    <w:rsid w:val="004C70A1"/>
    <w:rsid w:val="004E0C90"/>
    <w:rsid w:val="004E4198"/>
    <w:rsid w:val="004F6560"/>
    <w:rsid w:val="00502560"/>
    <w:rsid w:val="00503171"/>
    <w:rsid w:val="005111F2"/>
    <w:rsid w:val="005207C7"/>
    <w:rsid w:val="00526867"/>
    <w:rsid w:val="00530F97"/>
    <w:rsid w:val="005310C7"/>
    <w:rsid w:val="005323B3"/>
    <w:rsid w:val="00540893"/>
    <w:rsid w:val="00583AFF"/>
    <w:rsid w:val="00585614"/>
    <w:rsid w:val="00591CB5"/>
    <w:rsid w:val="005A1DDE"/>
    <w:rsid w:val="005A3E9B"/>
    <w:rsid w:val="005C4686"/>
    <w:rsid w:val="005C4FE5"/>
    <w:rsid w:val="005D4207"/>
    <w:rsid w:val="005F773B"/>
    <w:rsid w:val="00605A55"/>
    <w:rsid w:val="00614186"/>
    <w:rsid w:val="00616219"/>
    <w:rsid w:val="00635670"/>
    <w:rsid w:val="00643BEF"/>
    <w:rsid w:val="006445D6"/>
    <w:rsid w:val="00692862"/>
    <w:rsid w:val="006A75EB"/>
    <w:rsid w:val="006A7A8B"/>
    <w:rsid w:val="006B11B6"/>
    <w:rsid w:val="006B3608"/>
    <w:rsid w:val="006D4CDA"/>
    <w:rsid w:val="006D6677"/>
    <w:rsid w:val="006F1305"/>
    <w:rsid w:val="00704CE7"/>
    <w:rsid w:val="0070609A"/>
    <w:rsid w:val="00727C6B"/>
    <w:rsid w:val="00730A4B"/>
    <w:rsid w:val="00751066"/>
    <w:rsid w:val="00751961"/>
    <w:rsid w:val="007654A8"/>
    <w:rsid w:val="00782EB0"/>
    <w:rsid w:val="00796329"/>
    <w:rsid w:val="007A6DF0"/>
    <w:rsid w:val="007A7DD7"/>
    <w:rsid w:val="007C14AD"/>
    <w:rsid w:val="007D0DEE"/>
    <w:rsid w:val="007D3C5A"/>
    <w:rsid w:val="007E6C8F"/>
    <w:rsid w:val="007F5B44"/>
    <w:rsid w:val="00811618"/>
    <w:rsid w:val="0081231E"/>
    <w:rsid w:val="008228C3"/>
    <w:rsid w:val="00837607"/>
    <w:rsid w:val="008527F2"/>
    <w:rsid w:val="00852C59"/>
    <w:rsid w:val="008545C3"/>
    <w:rsid w:val="00855689"/>
    <w:rsid w:val="00855F1B"/>
    <w:rsid w:val="00862382"/>
    <w:rsid w:val="00862EF8"/>
    <w:rsid w:val="008665E2"/>
    <w:rsid w:val="008853AF"/>
    <w:rsid w:val="008A41F3"/>
    <w:rsid w:val="008C6474"/>
    <w:rsid w:val="008D06B8"/>
    <w:rsid w:val="008E1941"/>
    <w:rsid w:val="008F29F8"/>
    <w:rsid w:val="00920A96"/>
    <w:rsid w:val="009217D6"/>
    <w:rsid w:val="0092345D"/>
    <w:rsid w:val="00942BD7"/>
    <w:rsid w:val="00963E15"/>
    <w:rsid w:val="00977AC1"/>
    <w:rsid w:val="009929AC"/>
    <w:rsid w:val="0099403D"/>
    <w:rsid w:val="009A4BA9"/>
    <w:rsid w:val="009A55F1"/>
    <w:rsid w:val="009B1EA8"/>
    <w:rsid w:val="009C434D"/>
    <w:rsid w:val="00A04A0C"/>
    <w:rsid w:val="00A12FED"/>
    <w:rsid w:val="00A17AA0"/>
    <w:rsid w:val="00A2076C"/>
    <w:rsid w:val="00A26613"/>
    <w:rsid w:val="00A3284D"/>
    <w:rsid w:val="00A40BF6"/>
    <w:rsid w:val="00A47B80"/>
    <w:rsid w:val="00A607BC"/>
    <w:rsid w:val="00A7099D"/>
    <w:rsid w:val="00AD190D"/>
    <w:rsid w:val="00AD4E3F"/>
    <w:rsid w:val="00AD63E4"/>
    <w:rsid w:val="00AF52DD"/>
    <w:rsid w:val="00B25224"/>
    <w:rsid w:val="00B3364D"/>
    <w:rsid w:val="00B44E77"/>
    <w:rsid w:val="00B45F15"/>
    <w:rsid w:val="00B64C88"/>
    <w:rsid w:val="00B746E9"/>
    <w:rsid w:val="00BC2EC4"/>
    <w:rsid w:val="00BD0A8A"/>
    <w:rsid w:val="00BE1DD7"/>
    <w:rsid w:val="00C02C74"/>
    <w:rsid w:val="00C103C1"/>
    <w:rsid w:val="00C10986"/>
    <w:rsid w:val="00C37B6A"/>
    <w:rsid w:val="00C56C9F"/>
    <w:rsid w:val="00C63039"/>
    <w:rsid w:val="00C7164F"/>
    <w:rsid w:val="00C738CB"/>
    <w:rsid w:val="00C91979"/>
    <w:rsid w:val="00C964FE"/>
    <w:rsid w:val="00CA381D"/>
    <w:rsid w:val="00CA466F"/>
    <w:rsid w:val="00CA528E"/>
    <w:rsid w:val="00CA7281"/>
    <w:rsid w:val="00CB08E9"/>
    <w:rsid w:val="00CC06D5"/>
    <w:rsid w:val="00CC527A"/>
    <w:rsid w:val="00CD5985"/>
    <w:rsid w:val="00CD5F29"/>
    <w:rsid w:val="00CE0CA8"/>
    <w:rsid w:val="00CE559D"/>
    <w:rsid w:val="00CF0048"/>
    <w:rsid w:val="00D15F89"/>
    <w:rsid w:val="00D179DD"/>
    <w:rsid w:val="00D22929"/>
    <w:rsid w:val="00D32094"/>
    <w:rsid w:val="00D340FC"/>
    <w:rsid w:val="00D37DF9"/>
    <w:rsid w:val="00D4224B"/>
    <w:rsid w:val="00D72733"/>
    <w:rsid w:val="00D8381F"/>
    <w:rsid w:val="00DA07E4"/>
    <w:rsid w:val="00DD5A7B"/>
    <w:rsid w:val="00DD5C20"/>
    <w:rsid w:val="00E15D43"/>
    <w:rsid w:val="00E17982"/>
    <w:rsid w:val="00E23A18"/>
    <w:rsid w:val="00E25717"/>
    <w:rsid w:val="00E277BA"/>
    <w:rsid w:val="00E47548"/>
    <w:rsid w:val="00E52349"/>
    <w:rsid w:val="00E70535"/>
    <w:rsid w:val="00EA3812"/>
    <w:rsid w:val="00EB6F39"/>
    <w:rsid w:val="00EC7436"/>
    <w:rsid w:val="00EC7C3B"/>
    <w:rsid w:val="00ED3E7B"/>
    <w:rsid w:val="00ED57AA"/>
    <w:rsid w:val="00EE10A5"/>
    <w:rsid w:val="00F230BC"/>
    <w:rsid w:val="00F47A2F"/>
    <w:rsid w:val="00F87313"/>
    <w:rsid w:val="00FB54E4"/>
    <w:rsid w:val="00FE0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A2B9BB-B7BC-4D71-972A-40F09CA6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paragraph" w:customStyle="1" w:styleId="stolavtopptekst">
    <w:name w:val="stolav_topptekst"/>
    <w:basedOn w:val="Normal"/>
    <w:rsid w:val="00152283"/>
    <w:pPr>
      <w:widowControl/>
      <w:overflowPunct/>
      <w:autoSpaceDE/>
      <w:autoSpaceDN/>
      <w:adjustRightInd/>
      <w:spacing w:line="312" w:lineRule="auto"/>
      <w:textAlignment w:val="auto"/>
    </w:pPr>
    <w:rPr>
      <w:rFonts w:ascii="Arial" w:eastAsia="Times" w:hAnsi="Arial"/>
      <w:color w:val="000000"/>
      <w:sz w:val="18"/>
    </w:rPr>
  </w:style>
  <w:style w:type="paragraph" w:styleId="Ingenmellomrom">
    <w:name w:val="No Spacing"/>
    <w:uiPriority w:val="1"/>
    <w:qFormat/>
    <w:rsid w:val="007A7DD7"/>
    <w:rPr>
      <w:rFonts w:ascii="Calibri" w:eastAsia="Calibri" w:hAnsi="Calibri"/>
      <w:sz w:val="22"/>
      <w:szCs w:val="22"/>
      <w:lang w:eastAsia="en-US"/>
    </w:rPr>
  </w:style>
  <w:style w:type="character" w:styleId="Hyperkobling">
    <w:name w:val="Hyperlink"/>
    <w:unhideWhenUsed/>
    <w:rsid w:val="00D15F89"/>
    <w:rPr>
      <w:color w:val="0000FF"/>
      <w:u w:val="single"/>
    </w:rPr>
  </w:style>
  <w:style w:type="character" w:customStyle="1" w:styleId="header-title">
    <w:name w:val="header-title"/>
    <w:rsid w:val="00D72733"/>
  </w:style>
  <w:style w:type="paragraph" w:customStyle="1" w:styleId="StilOverskrift2TimesNewRoman14ptUnderstreking">
    <w:name w:val="Stil Overskrift 2 + Times New Roman 14 pt Understreking"/>
    <w:basedOn w:val="Normal"/>
    <w:rsid w:val="00431AB1"/>
    <w:pPr>
      <w:widowControl/>
      <w:numPr>
        <w:ilvl w:val="3"/>
        <w:numId w:val="27"/>
      </w:numPr>
      <w:overflowPunct/>
      <w:autoSpaceDE/>
      <w:autoSpaceDN/>
      <w:adjustRightInd/>
      <w:textAlignment w:val="auto"/>
    </w:pPr>
    <w:rPr>
      <w:szCs w:val="24"/>
    </w:rPr>
  </w:style>
  <w:style w:type="table" w:styleId="Tabell-Web1">
    <w:name w:val="Table Web 1"/>
    <w:basedOn w:val="Vanligtabell"/>
    <w:unhideWhenUsed/>
    <w:rsid w:val="0050256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57">
      <w:bodyDiv w:val="1"/>
      <w:marLeft w:val="0"/>
      <w:marRight w:val="0"/>
      <w:marTop w:val="0"/>
      <w:marBottom w:val="0"/>
      <w:divBdr>
        <w:top w:val="none" w:sz="0" w:space="0" w:color="auto"/>
        <w:left w:val="none" w:sz="0" w:space="0" w:color="auto"/>
        <w:bottom w:val="none" w:sz="0" w:space="0" w:color="auto"/>
        <w:right w:val="none" w:sz="0" w:space="0" w:color="auto"/>
      </w:divBdr>
    </w:div>
    <w:div w:id="329985790">
      <w:bodyDiv w:val="1"/>
      <w:marLeft w:val="0"/>
      <w:marRight w:val="0"/>
      <w:marTop w:val="0"/>
      <w:marBottom w:val="0"/>
      <w:divBdr>
        <w:top w:val="none" w:sz="0" w:space="0" w:color="auto"/>
        <w:left w:val="none" w:sz="0" w:space="0" w:color="auto"/>
        <w:bottom w:val="none" w:sz="0" w:space="0" w:color="auto"/>
        <w:right w:val="none" w:sz="0" w:space="0" w:color="auto"/>
      </w:divBdr>
    </w:div>
    <w:div w:id="340163574">
      <w:bodyDiv w:val="1"/>
      <w:marLeft w:val="0"/>
      <w:marRight w:val="0"/>
      <w:marTop w:val="0"/>
      <w:marBottom w:val="0"/>
      <w:divBdr>
        <w:top w:val="none" w:sz="0" w:space="0" w:color="auto"/>
        <w:left w:val="none" w:sz="0" w:space="0" w:color="auto"/>
        <w:bottom w:val="none" w:sz="0" w:space="0" w:color="auto"/>
        <w:right w:val="none" w:sz="0" w:space="0" w:color="auto"/>
      </w:divBdr>
    </w:div>
    <w:div w:id="375278312">
      <w:bodyDiv w:val="1"/>
      <w:marLeft w:val="0"/>
      <w:marRight w:val="0"/>
      <w:marTop w:val="0"/>
      <w:marBottom w:val="0"/>
      <w:divBdr>
        <w:top w:val="none" w:sz="0" w:space="0" w:color="auto"/>
        <w:left w:val="none" w:sz="0" w:space="0" w:color="auto"/>
        <w:bottom w:val="none" w:sz="0" w:space="0" w:color="auto"/>
        <w:right w:val="none" w:sz="0" w:space="0" w:color="auto"/>
      </w:divBdr>
    </w:div>
    <w:div w:id="496726824">
      <w:bodyDiv w:val="1"/>
      <w:marLeft w:val="0"/>
      <w:marRight w:val="0"/>
      <w:marTop w:val="0"/>
      <w:marBottom w:val="0"/>
      <w:divBdr>
        <w:top w:val="none" w:sz="0" w:space="0" w:color="auto"/>
        <w:left w:val="none" w:sz="0" w:space="0" w:color="auto"/>
        <w:bottom w:val="none" w:sz="0" w:space="0" w:color="auto"/>
        <w:right w:val="none" w:sz="0" w:space="0" w:color="auto"/>
      </w:divBdr>
    </w:div>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808979917">
      <w:bodyDiv w:val="1"/>
      <w:marLeft w:val="0"/>
      <w:marRight w:val="0"/>
      <w:marTop w:val="0"/>
      <w:marBottom w:val="0"/>
      <w:divBdr>
        <w:top w:val="none" w:sz="0" w:space="0" w:color="auto"/>
        <w:left w:val="none" w:sz="0" w:space="0" w:color="auto"/>
        <w:bottom w:val="none" w:sz="0" w:space="0" w:color="auto"/>
        <w:right w:val="none" w:sz="0" w:space="0" w:color="auto"/>
      </w:divBdr>
    </w:div>
    <w:div w:id="816530099">
      <w:bodyDiv w:val="1"/>
      <w:marLeft w:val="0"/>
      <w:marRight w:val="0"/>
      <w:marTop w:val="0"/>
      <w:marBottom w:val="0"/>
      <w:divBdr>
        <w:top w:val="none" w:sz="0" w:space="0" w:color="auto"/>
        <w:left w:val="none" w:sz="0" w:space="0" w:color="auto"/>
        <w:bottom w:val="none" w:sz="0" w:space="0" w:color="auto"/>
        <w:right w:val="none" w:sz="0" w:space="0" w:color="auto"/>
      </w:divBdr>
    </w:div>
    <w:div w:id="959531496">
      <w:bodyDiv w:val="1"/>
      <w:marLeft w:val="0"/>
      <w:marRight w:val="0"/>
      <w:marTop w:val="0"/>
      <w:marBottom w:val="0"/>
      <w:divBdr>
        <w:top w:val="none" w:sz="0" w:space="0" w:color="auto"/>
        <w:left w:val="none" w:sz="0" w:space="0" w:color="auto"/>
        <w:bottom w:val="none" w:sz="0" w:space="0" w:color="auto"/>
        <w:right w:val="none" w:sz="0" w:space="0" w:color="auto"/>
      </w:divBdr>
    </w:div>
    <w:div w:id="1196117259">
      <w:bodyDiv w:val="1"/>
      <w:marLeft w:val="0"/>
      <w:marRight w:val="0"/>
      <w:marTop w:val="0"/>
      <w:marBottom w:val="0"/>
      <w:divBdr>
        <w:top w:val="none" w:sz="0" w:space="0" w:color="auto"/>
        <w:left w:val="none" w:sz="0" w:space="0" w:color="auto"/>
        <w:bottom w:val="none" w:sz="0" w:space="0" w:color="auto"/>
        <w:right w:val="none" w:sz="0" w:space="0" w:color="auto"/>
      </w:divBdr>
    </w:div>
    <w:div w:id="1289511814">
      <w:bodyDiv w:val="1"/>
      <w:marLeft w:val="0"/>
      <w:marRight w:val="0"/>
      <w:marTop w:val="0"/>
      <w:marBottom w:val="0"/>
      <w:divBdr>
        <w:top w:val="none" w:sz="0" w:space="0" w:color="auto"/>
        <w:left w:val="none" w:sz="0" w:space="0" w:color="auto"/>
        <w:bottom w:val="none" w:sz="0" w:space="0" w:color="auto"/>
        <w:right w:val="none" w:sz="0" w:space="0" w:color="auto"/>
      </w:divBdr>
    </w:div>
    <w:div w:id="1383478420">
      <w:bodyDiv w:val="1"/>
      <w:marLeft w:val="0"/>
      <w:marRight w:val="0"/>
      <w:marTop w:val="0"/>
      <w:marBottom w:val="0"/>
      <w:divBdr>
        <w:top w:val="none" w:sz="0" w:space="0" w:color="auto"/>
        <w:left w:val="none" w:sz="0" w:space="0" w:color="auto"/>
        <w:bottom w:val="none" w:sz="0" w:space="0" w:color="auto"/>
        <w:right w:val="none" w:sz="0" w:space="0" w:color="auto"/>
      </w:divBdr>
    </w:div>
    <w:div w:id="1640838726">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 w:id="1885746877">
      <w:bodyDiv w:val="1"/>
      <w:marLeft w:val="0"/>
      <w:marRight w:val="0"/>
      <w:marTop w:val="0"/>
      <w:marBottom w:val="0"/>
      <w:divBdr>
        <w:top w:val="none" w:sz="0" w:space="0" w:color="auto"/>
        <w:left w:val="none" w:sz="0" w:space="0" w:color="auto"/>
        <w:bottom w:val="none" w:sz="0" w:space="0" w:color="auto"/>
        <w:right w:val="none" w:sz="0" w:space="0" w:color="auto"/>
      </w:divBdr>
    </w:div>
    <w:div w:id="19921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2661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Thyreoideasvulster</vt:lpstr>
    </vt:vector>
  </TitlesOfParts>
  <Company>Stolav</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2015-09-28T10:16:00Z</cp:lastPrinted>
  <dcterms:created xsi:type="dcterms:W3CDTF">2021-10-01T23:09:00Z</dcterms:created>
  <dcterms:modified xsi:type="dcterms:W3CDTF">2021-10-01T23:09:00Z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esentasjon">
    <vt:lpwstr>1</vt:lpwstr>
  </property>
  <property fmtid="{D5CDD505-2E9C-101B-9397-08002B2CF9AE}" pid="4" name="Referat">
    <vt:lpwstr>0</vt:lpwstr>
  </property>
  <property fmtid="{D5CDD505-2E9C-101B-9397-08002B2CF9AE}" pid="5" name="ContentType">
    <vt:lpwstr>Dokument St. Olav</vt:lpwstr>
  </property>
  <property fmtid="{D5CDD505-2E9C-101B-9397-08002B2CF9AE}" pid="6" name="Ofte i bruk">
    <vt:lpwstr>0</vt:lpwstr>
  </property>
</Properties>
</file>