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DA768E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Refleksjon etter utredning</w:t>
      </w:r>
    </w:p>
    <w:p w:rsidR="003333C0" w:rsidRDefault="003333C0" w:rsidP="003333C0">
      <w:pPr>
        <w:rPr>
          <w:rFonts w:ascii="Arial" w:hAnsi="Arial" w:cs="Arial"/>
        </w:rPr>
      </w:pP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Når utredningen er gjort, funnene oppsummeres og sammenholdes. Nevrologen må avgjøre hva som skal kommuniseres til pasienten.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Flere ulike situasjoner kan tenkes å foreligge. 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Pasienten har sykehi</w:t>
      </w:r>
      <w:r w:rsidR="004A2FAC">
        <w:rPr>
          <w:rFonts w:ascii="Arial" w:hAnsi="Arial" w:cs="Arial"/>
          <w:sz w:val="24"/>
          <w:szCs w:val="24"/>
        </w:rPr>
        <w:t>storie, kliniske funn og nevrofys</w:t>
      </w:r>
      <w:r w:rsidRPr="00EA546F">
        <w:rPr>
          <w:rFonts w:ascii="Arial" w:hAnsi="Arial" w:cs="Arial"/>
          <w:sz w:val="24"/>
          <w:szCs w:val="24"/>
        </w:rPr>
        <w:t xml:space="preserve">iologi som stemmer med ALS/MND. Nevrologen må informere pasient og pårørende om funnene og om diagnosen. 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Verken sykehistorie, funn eller supplerende undersøkelser stemmer med ALS/MND. Nevrologen må informere pasienten om funnene og om konklusjonen.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 xml:space="preserve">Dersom sykehistorie og funn ved klinisk undersøkelse gir mistanke om ALS/MND, men nevrofysiologien ikke stemmer har man to valg: </w:t>
      </w:r>
    </w:p>
    <w:p w:rsidR="00DA768E" w:rsidRPr="00EA546F" w:rsidRDefault="00DA768E" w:rsidP="00BD021B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Informere pasienten og pårørende om at det er mistanke om MND, men at det er en viss usikkerhet (håp).</w:t>
      </w:r>
    </w:p>
    <w:p w:rsidR="00DA768E" w:rsidRPr="00EA546F" w:rsidRDefault="00DA768E" w:rsidP="00BD021B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 xml:space="preserve">Informere pasienten og pårørende om at en er usikker på hva slags tilstand pasienten har, og vente på ny nevrofysiologi og gjøre ny vurdering om noen måneder. </w:t>
      </w:r>
    </w:p>
    <w:p w:rsidR="00DA768E" w:rsidRPr="00EA546F" w:rsidRDefault="00DA768E" w:rsidP="00BD021B">
      <w:pPr>
        <w:spacing w:line="360" w:lineRule="auto"/>
        <w:rPr>
          <w:rFonts w:ascii="Arial" w:hAnsi="Arial" w:cs="Arial"/>
          <w:szCs w:val="24"/>
        </w:rPr>
      </w:pPr>
      <w:r w:rsidRPr="00EA546F">
        <w:rPr>
          <w:rFonts w:ascii="Arial" w:hAnsi="Arial" w:cs="Arial"/>
          <w:szCs w:val="24"/>
        </w:rPr>
        <w:t xml:space="preserve">Det siste har vært vanlig praksis.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  <w:color w:val="000000"/>
        </w:rPr>
      </w:pPr>
      <w:r w:rsidRPr="00EA546F">
        <w:rPr>
          <w:rFonts w:ascii="Arial" w:hAnsi="Arial" w:cs="Arial"/>
          <w:color w:val="000000"/>
          <w:szCs w:val="24"/>
        </w:rPr>
        <w:t>Nevrologen bør ha in mente at de reviderte El Escorialkriteriene for nevrofysiologisk diagnose av ALS er meget restriktive og ikke hensiktsmessige til bruk i klinisk praksis der det er et mål å stille diagnosen tidlig. De kliniske kriteriene</w:t>
      </w:r>
      <w:r w:rsidRPr="00DA768E">
        <w:rPr>
          <w:rFonts w:ascii="Arial" w:hAnsi="Arial" w:cs="Arial"/>
          <w:color w:val="000000"/>
        </w:rPr>
        <w:t xml:space="preserve"> bør vektlegges.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  <w:color w:val="000000"/>
        </w:rPr>
      </w:pPr>
      <w:r w:rsidRPr="00DA768E">
        <w:rPr>
          <w:rFonts w:ascii="Arial" w:hAnsi="Arial" w:cs="Arial"/>
          <w:color w:val="000000"/>
        </w:rPr>
        <w:t xml:space="preserve">De </w:t>
      </w:r>
      <w:r w:rsidRPr="00DA768E">
        <w:rPr>
          <w:rFonts w:ascii="Arial" w:hAnsi="Arial" w:cs="Arial"/>
          <w:color w:val="000000"/>
          <w:u w:val="single"/>
        </w:rPr>
        <w:t>kliniske kriteriene</w:t>
      </w:r>
      <w:r w:rsidRPr="00DA768E">
        <w:rPr>
          <w:rFonts w:ascii="Arial" w:hAnsi="Arial" w:cs="Arial"/>
          <w:color w:val="000000"/>
        </w:rPr>
        <w:t xml:space="preserve"> krever følgende </w:t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Tilstedeværelse av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Symptomer på skade av nedre motornevron (klinisk eller ved EMG) i flere regioner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Symptomer på skade av øvre motornevron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Progresjon av symptomer og funn</w:t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lastRenderedPageBreak/>
        <w:t>Fravær av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Sensoriske funn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Sfinkterforstyrrelser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Synsforstyrrelser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Autonome 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Basalgangliedysfunksjon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Alzheimers sykdom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ALS-imitatorer, se tabell </w:t>
      </w:r>
      <w:r w:rsidRPr="00DA768E">
        <w:rPr>
          <w:rFonts w:ascii="Arial" w:hAnsi="Arial" w:cs="Arial"/>
        </w:rPr>
        <w:fldChar w:fldCharType="begin"/>
      </w:r>
      <w:r w:rsidRPr="00DA768E">
        <w:rPr>
          <w:rFonts w:ascii="Arial" w:hAnsi="Arial" w:cs="Arial"/>
        </w:rPr>
        <w:instrText xml:space="preserve"> ADDIN EN.CITE &lt;EndNote&gt;&lt;Cite&gt;&lt;Author&gt;Diagnosis&lt;/Author&gt;&lt;Year&gt;2012&lt;/Year&gt;&lt;RecNum&gt;4070&lt;/RecNum&gt;&lt;DisplayText&gt;[2]&lt;/DisplayText&gt;&lt;record&gt;&lt;rec-number&gt;4070&lt;/rec-number&gt;&lt;foreign-keys&gt;&lt;key app="EN" db-id="5wf2zrsa99r0asefza7xds9oxezparaw9x5s" timestamp="1447677281"&gt;4070&lt;/key&gt;&lt;/foreign-keys&gt;&lt;ref-type name="Journal Article"&gt;17&lt;/ref-type&gt;&lt;contributors&gt;&lt;authors&gt;&lt;author&gt;Efns Task Force on Diagnosis&lt;/author&gt;&lt;author&gt;Management of Amyotrophic Lateral, Sclerosis&lt;/author&gt;&lt;author&gt;Andersen, P. M.&lt;/author&gt;&lt;author&gt;Abrahams, S.&lt;/author&gt;&lt;author&gt;Borasio, G. D.&lt;/author&gt;&lt;author&gt;de Carvalho, M.&lt;/author&gt;&lt;author&gt;Chio, A.&lt;/author&gt;&lt;author&gt;Van Damme, P.&lt;/author&gt;&lt;author&gt;Hardiman, O.&lt;/author&gt;&lt;author&gt;Kollewe, K.&lt;/author&gt;&lt;author&gt;Morrison, K. E.&lt;/author&gt;&lt;author&gt;Petri, S.&lt;/author&gt;&lt;author&gt;Pradat, P. F.&lt;/author&gt;&lt;author&gt;Silani, V.&lt;/author&gt;&lt;author&gt;Tomik, B.&lt;/author&gt;&lt;author&gt;Wasner, M.&lt;/author&gt;&lt;author&gt;Weber, M.&lt;/author&gt;&lt;/authors&gt;&lt;/contributors&gt;&lt;auth-address&gt;Umea University, Umea, Sweden. Peter.Andersen@neuro.umu.se&lt;/auth-address&gt;&lt;titles&gt;&lt;title&gt;EFNS guidelines on the clinical management of amyotrophic lateral sclerosis (MALS)--revised report of an EFNS task force&lt;/title&gt;&lt;secondary-title&gt;Eur J Neurol&lt;/secondary-title&gt;&lt;alt-title&gt;European journal of neurology&lt;/alt-title&gt;&lt;/titles&gt;&lt;periodical&gt;&lt;full-title&gt;Eur J Neurol&lt;/full-title&gt;&lt;/periodical&gt;&lt;pages&gt;360-75&lt;/pages&gt;&lt;volume&gt;19&lt;/volume&gt;&lt;number&gt;3&lt;/number&gt;&lt;keywords&gt;&lt;keyword&gt;Advisory Committees&lt;/keyword&gt;&lt;keyword&gt;Amyotrophic Lateral Sclerosis/*diagnosis/*therapy&lt;/keyword&gt;&lt;keyword&gt;Evidence-Based Medicine&lt;/keyword&gt;&lt;keyword&gt;Humans&lt;/keyword&gt;&lt;/keywords&gt;&lt;dates&gt;&lt;year&gt;2012&lt;/year&gt;&lt;pub-dates&gt;&lt;date&gt;Mar&lt;/date&gt;&lt;/pub-dates&gt;&lt;/dates&gt;&lt;isbn&gt;1468-1331 (Electronic)&amp;#xD;1351-5101 (Linking)&lt;/isbn&gt;&lt;accession-num&gt;21914052&lt;/accession-num&gt;&lt;urls&gt;&lt;related-urls&gt;&lt;url&gt;http://www.ncbi.nlm.nih.gov/pubmed/21914052&lt;/url&gt;&lt;/related-urls&gt;&lt;/urls&gt;&lt;electronic-resource-num&gt;10.1111/j.1468-1331.2011.03501.x&lt;/electronic-resource-num&gt;&lt;/record&gt;&lt;/Cite&gt;&lt;/EndNote&gt;</w:instrText>
      </w:r>
      <w:r w:rsidRPr="00DA768E">
        <w:rPr>
          <w:rFonts w:ascii="Arial" w:hAnsi="Arial" w:cs="Arial"/>
        </w:rPr>
        <w:fldChar w:fldCharType="separate"/>
      </w:r>
      <w:r w:rsidRPr="00DA768E">
        <w:rPr>
          <w:rFonts w:ascii="Arial" w:hAnsi="Arial" w:cs="Arial"/>
          <w:noProof/>
        </w:rPr>
        <w:t>[2]</w:t>
      </w:r>
      <w:r w:rsidRPr="00DA768E">
        <w:rPr>
          <w:rFonts w:ascii="Arial" w:hAnsi="Arial" w:cs="Arial"/>
        </w:rPr>
        <w:fldChar w:fldCharType="end"/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Diagnosen støttes av;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Fasciculasjoner i en eller flere regioner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Nevrogene forandringer ved EMG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Normal motorisk og sensorisk nerveledning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Fravær av ledningsblokk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Ved mindre vanlige former av MND, vil man ikke nødvendigvis ha skade av både øvre og nedre motornevron.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</w:p>
    <w:p w:rsidR="001C5613" w:rsidRPr="001C5613" w:rsidRDefault="00DA768E" w:rsidP="00EA546F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Informasjon om diagnose med en viss usikkerhet kan være hensiktsmessig om klinikken taler for MND og differensialdiagnoser er utelukket</w:t>
      </w:r>
      <w:r w:rsidR="001C5613">
        <w:rPr>
          <w:rFonts w:ascii="Arial" w:hAnsi="Arial" w:cs="Arial"/>
        </w:rPr>
        <w:t xml:space="preserve">. </w:t>
      </w:r>
      <w:r w:rsidR="001C5613" w:rsidRPr="001C5613">
        <w:rPr>
          <w:rFonts w:ascii="Arial" w:hAnsi="Arial" w:cs="Arial"/>
        </w:rPr>
        <w:t xml:space="preserve">Progredierende symptomer er skremmende. Uvisshet kan være verre en å få en diagnose med forbehold. </w:t>
      </w:r>
      <w:r w:rsidR="001C5613">
        <w:rPr>
          <w:rFonts w:ascii="Arial" w:hAnsi="Arial" w:cs="Arial"/>
        </w:rPr>
        <w:br/>
      </w:r>
    </w:p>
    <w:p w:rsidR="001C5613" w:rsidRPr="001C5613" w:rsidRDefault="001C5613" w:rsidP="00EA546F">
      <w:pPr>
        <w:spacing w:line="360" w:lineRule="auto"/>
        <w:rPr>
          <w:rFonts w:ascii="Arial" w:hAnsi="Arial" w:cs="Arial"/>
        </w:rPr>
      </w:pPr>
      <w:r w:rsidRPr="001C5613">
        <w:rPr>
          <w:rFonts w:ascii="Arial" w:hAnsi="Arial" w:cs="Arial"/>
        </w:rPr>
        <w:t>Palliativ behandling bør iverksettes dersom pasienten har symptomer som krever dette, selv om diagnosen ikke er avklart. Dysfagi, vekttap, kommunikasjonsvansker og hypoventilasjon krever at tiltak startes.</w:t>
      </w:r>
      <w:r>
        <w:rPr>
          <w:rFonts w:ascii="Arial" w:hAnsi="Arial" w:cs="Arial"/>
        </w:rPr>
        <w:br/>
      </w:r>
      <w:r w:rsidRPr="001C5613">
        <w:rPr>
          <w:rFonts w:ascii="Arial" w:hAnsi="Arial" w:cs="Arial"/>
        </w:rPr>
        <w:t xml:space="preserve"> </w:t>
      </w:r>
    </w:p>
    <w:p w:rsidR="00CD5F29" w:rsidRPr="008423FB" w:rsidRDefault="001C5613" w:rsidP="008423FB">
      <w:pPr>
        <w:spacing w:line="360" w:lineRule="auto"/>
        <w:rPr>
          <w:rFonts w:ascii="Arial" w:hAnsi="Arial" w:cs="Arial"/>
        </w:rPr>
      </w:pPr>
      <w:r w:rsidRPr="001C5613">
        <w:rPr>
          <w:rFonts w:ascii="Arial" w:hAnsi="Arial" w:cs="Arial"/>
        </w:rPr>
        <w:t xml:space="preserve">Det anbefales sterkt å snakke om en erfaren kollega om pasienter ved tvil. Second opinion hos kollega/annet sykehus kan være aktuelt. </w:t>
      </w:r>
    </w:p>
    <w:sectPr w:rsidR="00CD5F29" w:rsidRPr="00842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5B" w:rsidRDefault="0019505B">
      <w:r>
        <w:separator/>
      </w:r>
    </w:p>
  </w:endnote>
  <w:endnote w:type="continuationSeparator" w:id="0">
    <w:p w:rsidR="0019505B" w:rsidRDefault="001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1859AC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1859AC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5B" w:rsidRDefault="0019505B">
      <w:r>
        <w:separator/>
      </w:r>
    </w:p>
  </w:footnote>
  <w:footnote w:type="continuationSeparator" w:id="0">
    <w:p w:rsidR="0019505B" w:rsidRDefault="0019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0F26"/>
    <w:rsid w:val="00054DEE"/>
    <w:rsid w:val="00061600"/>
    <w:rsid w:val="000D2781"/>
    <w:rsid w:val="000D2D62"/>
    <w:rsid w:val="001312DA"/>
    <w:rsid w:val="001859AC"/>
    <w:rsid w:val="0019505B"/>
    <w:rsid w:val="00195E38"/>
    <w:rsid w:val="001C5613"/>
    <w:rsid w:val="0032760D"/>
    <w:rsid w:val="003333C0"/>
    <w:rsid w:val="00334118"/>
    <w:rsid w:val="00334F9F"/>
    <w:rsid w:val="003D241D"/>
    <w:rsid w:val="003D387E"/>
    <w:rsid w:val="003E1569"/>
    <w:rsid w:val="003E7DC4"/>
    <w:rsid w:val="00417301"/>
    <w:rsid w:val="004175B5"/>
    <w:rsid w:val="00421FB1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F5B74"/>
    <w:rsid w:val="00635670"/>
    <w:rsid w:val="0063750F"/>
    <w:rsid w:val="006E7007"/>
    <w:rsid w:val="00751066"/>
    <w:rsid w:val="007654A8"/>
    <w:rsid w:val="00826868"/>
    <w:rsid w:val="00837607"/>
    <w:rsid w:val="008423FB"/>
    <w:rsid w:val="00853BEA"/>
    <w:rsid w:val="00920A96"/>
    <w:rsid w:val="009A55F1"/>
    <w:rsid w:val="00A02963"/>
    <w:rsid w:val="00A2076C"/>
    <w:rsid w:val="00A7099D"/>
    <w:rsid w:val="00B230FB"/>
    <w:rsid w:val="00B44E77"/>
    <w:rsid w:val="00B45F15"/>
    <w:rsid w:val="00B478B8"/>
    <w:rsid w:val="00BD021B"/>
    <w:rsid w:val="00BD0A8A"/>
    <w:rsid w:val="00C37B6A"/>
    <w:rsid w:val="00C92460"/>
    <w:rsid w:val="00CA528E"/>
    <w:rsid w:val="00CD5F29"/>
    <w:rsid w:val="00CF0048"/>
    <w:rsid w:val="00D32094"/>
    <w:rsid w:val="00D7386B"/>
    <w:rsid w:val="00D8208E"/>
    <w:rsid w:val="00D85E4B"/>
    <w:rsid w:val="00DA768E"/>
    <w:rsid w:val="00E17982"/>
    <w:rsid w:val="00E23A18"/>
    <w:rsid w:val="00E46838"/>
    <w:rsid w:val="00EA546F"/>
    <w:rsid w:val="00EB6F39"/>
    <w:rsid w:val="00ED3E7B"/>
    <w:rsid w:val="00EE3525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636D08-4EBB-4A2A-9A48-632AC11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Refleksjon etter utredning</vt:lpstr>
    </vt:vector>
  </TitlesOfParts>
  <Company>Stolav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2021-10-02T01:06:00Z</dcterms:created>
  <dcterms:modified xsi:type="dcterms:W3CDTF">2021-10-02T01:06:00Z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