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2F48">
      <w:pPr>
        <w:pStyle w:val="Overskrift1"/>
      </w:pPr>
      <w:bookmarkStart w:id="0" w:name="_GoBack"/>
      <w:bookmarkEnd w:id="0"/>
      <w:r>
        <w:t>Hensikt</w:t>
      </w:r>
    </w:p>
    <w:p w:rsidR="00000000" w:rsidRDefault="006C2F48">
      <w:r>
        <w:t>Velge korrekt desinfeksjonsmiddel i forhold til hvilke mikroorganismer som skal uskadeliggjøres og hvilke utstyr /flater som skal desinfiseres.</w:t>
      </w:r>
    </w:p>
    <w:p w:rsidR="00000000" w:rsidRDefault="006C2F48">
      <w:pPr>
        <w:pStyle w:val="Overskrift1"/>
      </w:pPr>
      <w:r>
        <w:t>Omfang</w:t>
      </w:r>
    </w:p>
    <w:p w:rsidR="00000000" w:rsidRDefault="006C2F48">
      <w:r>
        <w:t>Forholdsregler ved bruk av kjemiske desinfeksjonsmidler.</w:t>
      </w:r>
      <w:r>
        <w:br/>
        <w:t>Oversikt over aktuelle kjemiske desinfek</w:t>
      </w:r>
      <w:r>
        <w:t>sjonsmidler; brukskonsentrasjon / dosering, virketid og hvilke mikroorganismer de ulike midlene uskadeliggjør</w:t>
      </w:r>
    </w:p>
    <w:p w:rsidR="00000000" w:rsidRDefault="006C2F48">
      <w:pPr>
        <w:pStyle w:val="Overskrift1"/>
      </w:pPr>
      <w:r>
        <w:t>Grunnlagsinformasjon</w:t>
      </w:r>
    </w:p>
    <w:p w:rsidR="00000000" w:rsidRDefault="006C2F48">
      <w:r>
        <w:rPr>
          <w:b/>
          <w:u w:val="single"/>
        </w:rPr>
        <w:t>Oversikt over aktuelle kjemiske desinfeksjonsmidler til teknisk bruk ved Sykehuset Levanger</w:t>
      </w:r>
    </w:p>
    <w:p w:rsidR="00000000" w:rsidRDefault="006C2F48">
      <w:r>
        <w:t>* Oksydasjonsmidler: Virkon, Hydr</w:t>
      </w:r>
      <w:r>
        <w:t>ogenperoksyd</w:t>
      </w:r>
      <w:r>
        <w:br/>
        <w:t>* Pereddiksyre-basert middel: Perasafe</w:t>
      </w:r>
      <w:r>
        <w:br/>
        <w:t>* Aldehyd preparat: Cidex, Glutaraldehyd</w:t>
      </w:r>
      <w:r>
        <w:br/>
        <w:t>Cidex long life: Brukes i endoskopvaskemaskiner</w:t>
      </w:r>
      <w:r>
        <w:br/>
        <w:t>* Desinfeksjonssprit type B, Isopropanol</w:t>
      </w:r>
    </w:p>
    <w:p w:rsidR="00000000" w:rsidRDefault="006C2F48">
      <w:r>
        <w:t>Ved kjemisk desinfeksjon brukes stoffer som har ulik effekt på mikroorgani</w:t>
      </w:r>
      <w:r>
        <w:t>smer. Hvilke desinfeksjonsmiddel  som velges er avhengig av hvilke sykdomsfremkallende mikroorganismer (smittestoff) som skal drepes og  hvilke desinfeksjonsmiddel utstyret tåler (materialpåvirkning)</w:t>
      </w:r>
    </w:p>
    <w:p w:rsidR="00000000" w:rsidRDefault="006C2F48">
      <w:r>
        <w:t>Kjemiske desinfeksjonsmidler kan være giftige/helseskade</w:t>
      </w:r>
      <w:r>
        <w:t xml:space="preserve">lige, etsende/irriterende </w:t>
      </w:r>
      <w:r>
        <w:tab/>
        <w:t>og/eller allergifremkallende. Bruk anbefalt verneutstyr ved håndtering (utblanding og bruk) av kjemiske desinfeksjonsmidler.</w:t>
      </w:r>
    </w:p>
    <w:p w:rsidR="00000000" w:rsidRDefault="006C2F48">
      <w:r>
        <w:t>Desinfeksjonsmidlene skal alltid brukes slik som angitt i bruksanvisningen på emballasjen / produktdatab</w:t>
      </w:r>
      <w:r>
        <w:t>ladet. Ved uhell/skader med kjemiske desinfeksjonsmidler, se anbefalte tiltak i produktdatabladet/emballasjen.</w:t>
      </w:r>
    </w:p>
    <w:p w:rsidR="00000000" w:rsidRDefault="006C2F48">
      <w:pPr>
        <w:pStyle w:val="Overskrift2"/>
      </w:pPr>
      <w:r>
        <w:t>Høringsinstanser:</w:t>
      </w:r>
    </w:p>
    <w:p w:rsidR="00000000" w:rsidRDefault="006C2F48">
      <w:pPr>
        <w:rPr>
          <w:b/>
        </w:rPr>
      </w:pPr>
      <w:r>
        <w:t>* Avdelingssykepleiere</w:t>
      </w:r>
    </w:p>
    <w:p w:rsidR="00000000" w:rsidRDefault="006C2F48">
      <w:pPr>
        <w:pStyle w:val="Overskrift1"/>
      </w:pPr>
      <w:r>
        <w:br w:type="page"/>
      </w:r>
      <w:r>
        <w:lastRenderedPageBreak/>
        <w:t>Arbeidsbeskrivelse</w:t>
      </w:r>
    </w:p>
    <w:p w:rsidR="00000000" w:rsidRDefault="006C2F48">
      <w:pPr>
        <w:pStyle w:val="Overskrift2"/>
      </w:pPr>
      <w:r>
        <w:t>Ansvar</w:t>
      </w:r>
    </w:p>
    <w:p w:rsidR="00000000" w:rsidRDefault="006C2F48">
      <w:r>
        <w:t xml:space="preserve">Revisjon: Hygienesykepleier </w:t>
      </w:r>
      <w:r>
        <w:br/>
        <w:t>Tilrettelegging for gjennomføring: Avdelingslede</w:t>
      </w:r>
      <w:r>
        <w:t>lsen</w:t>
      </w:r>
      <w:r>
        <w:rPr>
          <w:b/>
        </w:rPr>
        <w:br/>
      </w:r>
      <w:r>
        <w:t>Den enkelte ansatte har ansvar for å kjenne retningslinjene og bruke desinfeksjonsmidlene korrekt.</w:t>
      </w:r>
    </w:p>
    <w:p w:rsidR="00000000" w:rsidRDefault="006C2F48">
      <w:pPr>
        <w:pStyle w:val="Overskrift2"/>
      </w:pPr>
      <w:r>
        <w:t>Handling</w:t>
      </w:r>
    </w:p>
    <w:p w:rsidR="00000000" w:rsidRDefault="006C2F48">
      <w:pPr>
        <w:rPr>
          <w:b/>
        </w:rPr>
      </w:pPr>
      <w:r>
        <w:rPr>
          <w:b/>
        </w:rPr>
        <w:t>FORHOLDSREGLER VED BRUK AV KJEMISKE DESINFEKSJONSMIDLER</w:t>
      </w:r>
    </w:p>
    <w:p w:rsidR="00000000" w:rsidRDefault="006C2F48">
      <w:r>
        <w:rPr>
          <w:b/>
        </w:rPr>
        <w:t xml:space="preserve">* </w:t>
      </w:r>
      <w:r>
        <w:t>Velg et desinfeksjonsmiddel som virker på det/de mikroorganismer som antas å være til</w:t>
      </w:r>
      <w:r>
        <w:t xml:space="preserve"> stede.</w:t>
      </w:r>
      <w:r>
        <w:rPr>
          <w:b/>
        </w:rPr>
        <w:br/>
        <w:t xml:space="preserve">* </w:t>
      </w:r>
      <w:r>
        <w:t>Overhold grenseverdiene for brukskonsentrasjon, virketid og holdbarhet.</w:t>
      </w:r>
      <w:r>
        <w:br/>
        <w:t>* Ivareta forholdsregler mot helseskade ved å:</w:t>
      </w:r>
      <w:r>
        <w:br/>
        <w:t>- Bruke vernebriller ved fare for søl / sprut av desinfeksjonsmidler</w:t>
      </w:r>
      <w:r>
        <w:br/>
        <w:t>- Unngå direkte kontakt, desinfeksjonsmidler er ofte hudir</w:t>
      </w:r>
      <w:r>
        <w:t>riterende evt. etsende.</w:t>
      </w:r>
      <w:r>
        <w:br/>
        <w:t>- Bruk hansker og beskyttelsesfrakk</w:t>
      </w:r>
      <w:r>
        <w:br/>
        <w:t>- Arbeid under sikre forhold med hensyn til f.eks aldehyddamp/ støv.</w:t>
      </w:r>
      <w:r>
        <w:br/>
        <w:t xml:space="preserve">- Opplysning om helsefare: se produktdatablad </w:t>
      </w:r>
    </w:p>
    <w:p w:rsidR="00000000" w:rsidRDefault="006C2F48">
      <w:pPr>
        <w:rPr>
          <w:b/>
        </w:rPr>
      </w:pPr>
      <w:r>
        <w:rPr>
          <w:b/>
        </w:rPr>
        <w:t>KJEMISKE DESINFEKSJONSMIDLER</w:t>
      </w:r>
      <w:r>
        <w:rPr>
          <w:b/>
        </w:rPr>
        <w:br/>
        <w:t>OKSYDASJONSMIDLER:</w:t>
      </w:r>
    </w:p>
    <w:p w:rsidR="00000000" w:rsidRDefault="006C2F48">
      <w:r>
        <w:rPr>
          <w:b/>
          <w:u w:val="single"/>
        </w:rPr>
        <w:t>HYDROGENPEROKSYD 3%.</w:t>
      </w:r>
    </w:p>
    <w:p w:rsidR="00000000" w:rsidRDefault="006C2F48">
      <w:r>
        <w:t>Hydrogenper</w:t>
      </w:r>
      <w:r>
        <w:t xml:space="preserve">oksyd forårsaker irreversible skader på bakterienes cellekomponenter. Hydrogenperoksyd 3% brukes </w:t>
      </w:r>
      <w:r>
        <w:rPr>
          <w:b/>
        </w:rPr>
        <w:t>kun</w:t>
      </w:r>
      <w:r>
        <w:t xml:space="preserve"> til desinfeksjon av </w:t>
      </w:r>
      <w:r>
        <w:rPr>
          <w:u w:val="single"/>
        </w:rPr>
        <w:t>kontaktlinser og innerkanyler</w:t>
      </w:r>
      <w:r>
        <w:t xml:space="preserve"> (trachealkanyler).</w:t>
      </w:r>
    </w:p>
    <w:p w:rsidR="00000000" w:rsidRDefault="006C2F48">
      <w:r>
        <w:t xml:space="preserve">Middelet har lav toksisitet og </w:t>
      </w:r>
      <w:r>
        <w:rPr>
          <w:u w:val="single"/>
        </w:rPr>
        <w:t>påvirkes IKKE av organisk materiale</w:t>
      </w:r>
      <w:r>
        <w:t>!</w:t>
      </w:r>
      <w:r>
        <w:br/>
        <w:t>Hydrogenperoksyd 3</w:t>
      </w:r>
      <w:r>
        <w:t>% kan lages i apotekene og er derfor ikke registreringspliktig.</w:t>
      </w:r>
    </w:p>
    <w:p w:rsidR="00000000" w:rsidRDefault="006C2F48">
      <w:r>
        <w:rPr>
          <w:b/>
        </w:rPr>
        <w:t>Virker på:</w:t>
      </w:r>
      <w:r>
        <w:t xml:space="preserve"> De fleste vegetative bakterier, enkelte virus inkl.HIV, hepatitt. Usikker effekt på sopp.</w:t>
      </w:r>
    </w:p>
    <w:p w:rsidR="00000000" w:rsidRDefault="006C2F48">
      <w:pPr>
        <w:rPr>
          <w:b/>
          <w:u w:val="single"/>
        </w:rPr>
      </w:pPr>
      <w:r>
        <w:rPr>
          <w:b/>
          <w:u w:val="single"/>
        </w:rPr>
        <w:t>VIRKON 1%.</w:t>
      </w:r>
    </w:p>
    <w:p w:rsidR="00000000" w:rsidRDefault="006C2F48">
      <w:r>
        <w:t xml:space="preserve">Virkon virker ved å oksydere </w:t>
      </w:r>
      <w:r>
        <w:br/>
        <w:t xml:space="preserve">Virkon inneholder også en såpekomponent og har en </w:t>
      </w:r>
      <w:r>
        <w:t>rengjørende effekt. Desinfeksjonsmidlet reagerer med alle typer organisk materiale inkl. organisk såpe slik at det utvikles "klorlukt."</w:t>
      </w:r>
    </w:p>
    <w:p w:rsidR="00000000" w:rsidRDefault="006C2F48">
      <w:r>
        <w:t xml:space="preserve">Hvis synlig tilsølt utstyr bare legges ned i desinfeksjonsvæsken, kan organisk materiale brenne seg fast på utstyret. </w:t>
      </w:r>
    </w:p>
    <w:p w:rsidR="00000000" w:rsidRDefault="006C2F48">
      <w:r>
        <w:rPr>
          <w:b/>
        </w:rPr>
        <w:t>V</w:t>
      </w:r>
      <w:r>
        <w:rPr>
          <w:b/>
        </w:rPr>
        <w:t xml:space="preserve">irker på: </w:t>
      </w:r>
      <w:r>
        <w:t xml:space="preserve">Vegetative bakterier, virus og sopp. Inkl. HIV, hepatitt. </w:t>
      </w:r>
      <w:r>
        <w:rPr>
          <w:b/>
        </w:rPr>
        <w:t>Ikke godkjent til mycobakterier</w:t>
      </w:r>
    </w:p>
    <w:p w:rsidR="00000000" w:rsidRDefault="006C2F48">
      <w:r>
        <w:rPr>
          <w:b/>
        </w:rPr>
        <w:t>Bruksområde:</w:t>
      </w:r>
      <w:r>
        <w:t xml:space="preserve"> Generell desinfeksjon av flater/ inventar og flekkdesinfeksjon</w:t>
      </w:r>
    </w:p>
    <w:p w:rsidR="00000000" w:rsidRDefault="006C2F48">
      <w:r>
        <w:rPr>
          <w:b/>
        </w:rPr>
        <w:t>Materialpåvirkning:</w:t>
      </w:r>
      <w:r>
        <w:rPr>
          <w:b/>
        </w:rPr>
        <w:tab/>
      </w:r>
      <w:r>
        <w:t>Utstyr av metall kan bli misfarget etter 30 minutter. Ikke g</w:t>
      </w:r>
      <w:r>
        <w:t>odkjent til optisk utstyr, legeringer.</w:t>
      </w:r>
    </w:p>
    <w:p w:rsidR="00000000" w:rsidRDefault="006C2F48">
      <w:r>
        <w:rPr>
          <w:b/>
        </w:rPr>
        <w:t>Dosering:</w:t>
      </w:r>
      <w:r>
        <w:t xml:space="preserve"> Anbefales å bruke en-dose-pakning som legges direkte i temperert vann. En pose pr. liter vann gir 1% bruksløsning.</w:t>
      </w:r>
    </w:p>
    <w:p w:rsidR="00000000" w:rsidRDefault="006C2F48">
      <w:pPr>
        <w:rPr>
          <w:b/>
        </w:rPr>
      </w:pPr>
      <w:r>
        <w:rPr>
          <w:b/>
        </w:rPr>
        <w:t>Desinfeksjonsmetode:</w:t>
      </w:r>
    </w:p>
    <w:p w:rsidR="00000000" w:rsidRDefault="006C2F48">
      <w:r>
        <w:rPr>
          <w:b/>
        </w:rPr>
        <w:t xml:space="preserve">Overflater: </w:t>
      </w:r>
      <w:r>
        <w:t>Fjern synlig forurensning med cellestoff.</w:t>
      </w:r>
      <w:r>
        <w:br/>
      </w:r>
      <w:r>
        <w:rPr>
          <w:u w:val="single"/>
        </w:rPr>
        <w:t>Bearbeid flaten</w:t>
      </w:r>
      <w:r>
        <w:t xml:space="preserve"> g</w:t>
      </w:r>
      <w:r>
        <w:t>rundig med klut/svamp fuktet med virkonløsning (synlig væskefilm). Skyll av/vask av rester av desinfeksjonsmiddelet med rent vann etter avsluttet desinfeksjonstid.</w:t>
      </w:r>
    </w:p>
    <w:p w:rsidR="00000000" w:rsidRDefault="006C2F48">
      <w:r>
        <w:t>*</w:t>
      </w:r>
      <w:r>
        <w:rPr>
          <w:b/>
        </w:rPr>
        <w:t>Utstyr</w:t>
      </w:r>
      <w:r>
        <w:t>:Legg utstyret med i et desinfeksjonskar med virkonløsning. Sammensatt utstyr skal de</w:t>
      </w:r>
      <w:r>
        <w:t>monteres.</w:t>
      </w:r>
      <w:r>
        <w:br/>
        <w:t>Fjern /skyll av søl før du iverksetter desinfeksjonen eller rengjør utstyret i virkonløsningen. Vask av desinfeksjonsmidlet med rent vann / vann tilsatt syntetisk såpe. Tørk utstyret.</w:t>
      </w:r>
    </w:p>
    <w:p w:rsidR="00000000" w:rsidRDefault="006C2F48">
      <w:pPr>
        <w:rPr>
          <w:b/>
        </w:rPr>
      </w:pPr>
      <w:r>
        <w:rPr>
          <w:b/>
        </w:rPr>
        <w:t xml:space="preserve">Desinfeksjonstid: </w:t>
      </w:r>
    </w:p>
    <w:p w:rsidR="00000000" w:rsidRDefault="006C2F48">
      <w:r>
        <w:t>Rengjorte flater og utstyr: 1% bruksløsning</w:t>
      </w:r>
      <w:r>
        <w:t xml:space="preserve"> i 10 minutter</w:t>
      </w:r>
      <w:r>
        <w:br/>
        <w:t>Ikke rengjorte flater og utstyr: 1% bruksløsning i 30 minutter</w:t>
      </w:r>
    </w:p>
    <w:p w:rsidR="00000000" w:rsidRDefault="006C2F48">
      <w:pPr>
        <w:rPr>
          <w:b/>
        </w:rPr>
      </w:pPr>
      <w:r>
        <w:rPr>
          <w:b/>
        </w:rPr>
        <w:t>Holdbarhet:</w:t>
      </w:r>
    </w:p>
    <w:p w:rsidR="00000000" w:rsidRDefault="006C2F48">
      <w:r>
        <w:rPr>
          <w:b/>
        </w:rPr>
        <w:t xml:space="preserve">*Ubrukt bruksløsning: </w:t>
      </w:r>
      <w:r>
        <w:t xml:space="preserve">1 uke etter utblanding. Oppbevares i emballasje m/kork. Emballasjen skal MERKES godt; navn på desinfeksjonsmiddelet, brukskonsentrasjon og dato </w:t>
      </w:r>
      <w:r>
        <w:t>for utblanding.</w:t>
      </w:r>
    </w:p>
    <w:p w:rsidR="00000000" w:rsidRDefault="006C2F48">
      <w:r>
        <w:rPr>
          <w:b/>
        </w:rPr>
        <w:t xml:space="preserve">*Brukt bruksløsning: </w:t>
      </w:r>
      <w:r>
        <w:t>Skiftes etter bruk /daglig.</w:t>
      </w:r>
    </w:p>
    <w:p w:rsidR="00000000" w:rsidRDefault="006C2F48">
      <w:pPr>
        <w:rPr>
          <w:b/>
        </w:rPr>
      </w:pPr>
      <w:r>
        <w:rPr>
          <w:b/>
        </w:rPr>
        <w:t>PEREDDIKSYRE-BASERTE MIDLER:</w:t>
      </w:r>
    </w:p>
    <w:p w:rsidR="00000000" w:rsidRDefault="006C2F48">
      <w:pPr>
        <w:rPr>
          <w:b/>
        </w:rPr>
      </w:pPr>
      <w:r>
        <w:rPr>
          <w:b/>
        </w:rPr>
        <w:t>Perasafe</w:t>
      </w:r>
    </w:p>
    <w:p w:rsidR="00000000" w:rsidRDefault="006C2F48">
      <w:r>
        <w:t>Pereddiksyre er en etsende, fargeløs væske med stikkende lukt, som i konsentrert form er både eksplosiv og ustabil. Fortynnede løsninger (som Perasafe)er</w:t>
      </w:r>
      <w:r>
        <w:t xml:space="preserve"> imidlertid ufarlige og kan håndteres uten forhåndsregler.</w:t>
      </w:r>
    </w:p>
    <w:p w:rsidR="00000000" w:rsidRDefault="006C2F48">
      <w:r>
        <w:t>Perasafe oppleves så og si luktfri.</w:t>
      </w:r>
    </w:p>
    <w:p w:rsidR="00000000" w:rsidRDefault="006C2F48">
      <w:r>
        <w:rPr>
          <w:b/>
        </w:rPr>
        <w:t>Virker på:</w:t>
      </w:r>
      <w:r>
        <w:t xml:space="preserve"> Vegetative bakterier inklusive mycobakterier, alle typer virus og sopp. Dokumentert effekt på Cl.difficile. </w:t>
      </w:r>
    </w:p>
    <w:p w:rsidR="00000000" w:rsidRDefault="006C2F48">
      <w:r>
        <w:rPr>
          <w:b/>
        </w:rPr>
        <w:t xml:space="preserve">Bruksområde: </w:t>
      </w:r>
      <w:r>
        <w:t>Ved mistanke om mycobakterie</w:t>
      </w:r>
      <w:r>
        <w:t>r. (Erstatter tidligere brukte Kloricid)</w:t>
      </w:r>
    </w:p>
    <w:p w:rsidR="00000000" w:rsidRDefault="006C2F48">
      <w:r>
        <w:rPr>
          <w:b/>
        </w:rPr>
        <w:t xml:space="preserve">Materialpåvirkning: </w:t>
      </w:r>
      <w:r>
        <w:t>Angitt som ikke-korroderende på metaller. Likevel viktig å følge bruksanvisning.</w:t>
      </w:r>
    </w:p>
    <w:p w:rsidR="00000000" w:rsidRDefault="006C2F48">
      <w:r>
        <w:rPr>
          <w:b/>
        </w:rPr>
        <w:t>Dosering:</w:t>
      </w:r>
      <w:r>
        <w:t xml:space="preserve"> 1 strøken doseringsskje til 0,5 liter. Doseringskopp/-skje medfølger.</w:t>
      </w:r>
    </w:p>
    <w:p w:rsidR="00000000" w:rsidRDefault="006C2F48">
      <w:r>
        <w:rPr>
          <w:b/>
        </w:rPr>
        <w:t xml:space="preserve">Desinfeksjonsmåte: </w:t>
      </w:r>
      <w:r>
        <w:t>Brukes som Virk</w:t>
      </w:r>
      <w:r>
        <w:t>on.</w:t>
      </w:r>
    </w:p>
    <w:p w:rsidR="00000000" w:rsidRDefault="006C2F48"/>
    <w:p w:rsidR="00000000" w:rsidRDefault="006C2F48">
      <w:pPr>
        <w:rPr>
          <w:b/>
        </w:rPr>
      </w:pPr>
      <w:r>
        <w:rPr>
          <w:b/>
        </w:rPr>
        <w:t xml:space="preserve">ALKOHOLER: </w:t>
      </w:r>
    </w:p>
    <w:p w:rsidR="00000000" w:rsidRDefault="006C2F48">
      <w:pPr>
        <w:rPr>
          <w:b/>
        </w:rPr>
      </w:pPr>
      <w:r>
        <w:rPr>
          <w:b/>
        </w:rPr>
        <w:t>Etanol, Isopropanol</w:t>
      </w:r>
    </w:p>
    <w:p w:rsidR="00000000" w:rsidRDefault="006C2F48">
      <w:r>
        <w:t>Alkoholer virker ved å denaturere og koagulere proteiner. Protein denatureres lettere i vandig miljø enn i vannfritt miljø. Alkoholer til desinfeksjon er derfor tilsatt vann (desinf.sprit 70%.).Alkoholer virker raskt og</w:t>
      </w:r>
      <w:r>
        <w:t xml:space="preserve"> inaktiveres ikke av organisk materiale.</w:t>
      </w:r>
    </w:p>
    <w:p w:rsidR="00000000" w:rsidRDefault="006C2F48">
      <w:pPr>
        <w:rPr>
          <w:b/>
          <w:u w:val="single"/>
        </w:rPr>
      </w:pPr>
      <w:r>
        <w:rPr>
          <w:u w:val="single"/>
        </w:rPr>
        <w:t xml:space="preserve">Organisk materiale kan derimot fungere som en beskytelseskappe som hindrer desinfeksjonsmidlet i å trege inn . Desinfeksjonssprit skal derfor bare brukes på </w:t>
      </w:r>
      <w:r>
        <w:rPr>
          <w:b/>
          <w:u w:val="single"/>
        </w:rPr>
        <w:t>Rengjort utstyr og rengjorte flater.</w:t>
      </w:r>
    </w:p>
    <w:p w:rsidR="00000000" w:rsidRDefault="006C2F48">
      <w:pPr>
        <w:rPr>
          <w:b/>
        </w:rPr>
      </w:pPr>
      <w:r>
        <w:rPr>
          <w:b/>
          <w:u w:val="single"/>
        </w:rPr>
        <w:t xml:space="preserve">Desinfeksjonsspriten </w:t>
      </w:r>
      <w:r>
        <w:rPr>
          <w:b/>
          <w:u w:val="single"/>
        </w:rPr>
        <w:t xml:space="preserve">skal fordampe, ikke </w:t>
      </w:r>
      <w:r>
        <w:rPr>
          <w:b/>
          <w:u w:val="single"/>
        </w:rPr>
        <w:tab/>
        <w:t>vaskes av.</w:t>
      </w:r>
    </w:p>
    <w:p w:rsidR="00000000" w:rsidRDefault="006C2F48">
      <w:r>
        <w:rPr>
          <w:b/>
        </w:rPr>
        <w:t>Virker på</w:t>
      </w:r>
      <w:r>
        <w:t>: Bakterier, virus og sopp. Inkl. HIV, hepatitt, mycobakterier.</w:t>
      </w:r>
      <w:r>
        <w:br/>
      </w:r>
      <w:r>
        <w:rPr>
          <w:b/>
        </w:rPr>
        <w:t>Virketid</w:t>
      </w:r>
      <w:r>
        <w:t>: 2-10 minutter på rengjort utstyr som kan senkes ned i desinfeksjonsvæsken.</w:t>
      </w:r>
      <w:r>
        <w:br/>
        <w:t>2 minutter på rengjort utstyr og flater/flekkdesinfeksjon. (avspri</w:t>
      </w:r>
      <w:r>
        <w:t>ting x 2)</w:t>
      </w:r>
      <w:r>
        <w:br/>
      </w:r>
      <w:r>
        <w:rPr>
          <w:b/>
        </w:rPr>
        <w:t>Ubrukt bruksløsning:</w:t>
      </w:r>
      <w:r>
        <w:t xml:space="preserve"> Oppbevares i tett original emballasje m/skrulokk.</w:t>
      </w:r>
      <w:r>
        <w:br/>
      </w:r>
      <w:r>
        <w:rPr>
          <w:b/>
        </w:rPr>
        <w:t xml:space="preserve">Bruksløsning i bruk i desinfeksjonskar: </w:t>
      </w:r>
      <w:r>
        <w:t>Skiftes rett etter bruk/ daglig.</w:t>
      </w:r>
    </w:p>
    <w:p w:rsidR="00000000" w:rsidRDefault="006C2F48">
      <w:pPr>
        <w:rPr>
          <w:b/>
        </w:rPr>
      </w:pPr>
      <w:r>
        <w:rPr>
          <w:b/>
        </w:rPr>
        <w:t>ALDEHYDER:</w:t>
      </w:r>
    </w:p>
    <w:p w:rsidR="00000000" w:rsidRDefault="006C2F48">
      <w:pPr>
        <w:rPr>
          <w:b/>
          <w:u w:val="single"/>
        </w:rPr>
      </w:pPr>
      <w:r>
        <w:rPr>
          <w:b/>
          <w:u w:val="single"/>
        </w:rPr>
        <w:t>Cidex 2 %, Cidex Long Life 2 %</w:t>
      </w:r>
    </w:p>
    <w:p w:rsidR="00000000" w:rsidRDefault="006C2F48">
      <w:pPr>
        <w:rPr>
          <w:u w:val="single"/>
        </w:rPr>
      </w:pPr>
      <w:r>
        <w:t>Aldehyder  SKAL  IKKE brukes til flatedesinfeksjon p.g.a. ir</w:t>
      </w:r>
      <w:r>
        <w:t>riterende , giftige gasser! Desinfeksjon med aldehyd skal utføres</w:t>
      </w:r>
      <w:r>
        <w:rPr>
          <w:u w:val="single"/>
        </w:rPr>
        <w:t xml:space="preserve"> under avsug.</w:t>
      </w:r>
      <w:r>
        <w:t xml:space="preserve"> Bruk hansker med langt skaft. Aldehyd er sterkt </w:t>
      </w:r>
      <w:r>
        <w:rPr>
          <w:b/>
        </w:rPr>
        <w:t>allergent</w:t>
      </w:r>
      <w:r>
        <w:t xml:space="preserve">, </w:t>
      </w:r>
      <w:r>
        <w:rPr>
          <w:u w:val="single"/>
        </w:rPr>
        <w:t>slimhinne-irriterende, muligens kreftfremkallende.</w:t>
      </w:r>
    </w:p>
    <w:p w:rsidR="00000000" w:rsidRDefault="006C2F48">
      <w:r>
        <w:rPr>
          <w:b/>
        </w:rPr>
        <w:t xml:space="preserve">Virker på: </w:t>
      </w:r>
      <w:r>
        <w:t>Bakterier, virus og sopp. Inkl. HIV, hepatitt og mycobak</w:t>
      </w:r>
      <w:r>
        <w:t>terier.</w:t>
      </w:r>
      <w:r>
        <w:br/>
      </w:r>
      <w:r>
        <w:rPr>
          <w:b/>
        </w:rPr>
        <w:t>Bruksområde</w:t>
      </w:r>
      <w:r>
        <w:t>: Spesialutstyr, optisk utstyr, linsesement og annet utstyr som ikke tåler varme eller andre kjemiske desinfeksjonsmidler.</w:t>
      </w:r>
      <w:r>
        <w:br/>
        <w:t>Fjern desinfeksjonsmidlet med vann etter avsluttet desinfeksjonstid.</w:t>
      </w:r>
    </w:p>
    <w:p w:rsidR="00000000" w:rsidRDefault="006C2F48">
      <w:r>
        <w:rPr>
          <w:b/>
        </w:rPr>
        <w:t>Desinfeksjonstid</w:t>
      </w:r>
      <w:r>
        <w:t>:</w:t>
      </w:r>
      <w:r>
        <w:rPr>
          <w:b/>
        </w:rPr>
        <w:t>:</w:t>
      </w:r>
      <w:r>
        <w:t xml:space="preserve"> </w:t>
      </w:r>
    </w:p>
    <w:p w:rsidR="00000000" w:rsidRDefault="006C2F48">
      <w:r>
        <w:t>Rengjort utstyr: 10 minut</w:t>
      </w:r>
      <w:r>
        <w:t>ter</w:t>
      </w:r>
      <w:r>
        <w:br/>
        <w:t>Ikke rengjort utstyr: 30 minutter</w:t>
      </w:r>
      <w:r>
        <w:br/>
        <w:t>Mycobakterier (tbc): 1 time</w:t>
      </w:r>
      <w:r>
        <w:br/>
      </w:r>
      <w:r>
        <w:rPr>
          <w:b/>
        </w:rPr>
        <w:t>Bruksløsning i bruk i desinfeksjonskar</w:t>
      </w:r>
      <w:r>
        <w:t>:</w:t>
      </w:r>
    </w:p>
    <w:p w:rsidR="00000000" w:rsidRDefault="006C2F48">
      <w:pPr>
        <w:rPr>
          <w:b/>
        </w:rPr>
      </w:pPr>
      <w:r>
        <w:t>Skift bruksløsning 2-3 ganger pr. uke eller ved synlig forurensing.</w:t>
      </w:r>
    </w:p>
    <w:p w:rsidR="00000000" w:rsidRDefault="006C2F48">
      <w:r>
        <w:rPr>
          <w:b/>
        </w:rPr>
        <w:t>OVERSIKT - AKTUELLE KJEMISKE DESINFEKSJONSMIDLER:</w:t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:rsidR="00000000" w:rsidRDefault="006C2F48">
            <w:pPr>
              <w:jc w:val="center"/>
              <w:rPr>
                <w:b/>
              </w:rPr>
            </w:pPr>
            <w:r>
              <w:rPr>
                <w:b/>
              </w:rPr>
              <w:t>PREPARAT OG</w:t>
            </w:r>
          </w:p>
          <w:p w:rsidR="00000000" w:rsidRDefault="006C2F48">
            <w:pPr>
              <w:jc w:val="center"/>
            </w:pPr>
            <w:r>
              <w:rPr>
                <w:b/>
              </w:rPr>
              <w:t>BRUKSKONSENTRASJON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FFFF00" w:fill="auto"/>
          </w:tcPr>
          <w:p w:rsidR="00000000" w:rsidRDefault="006C2F48">
            <w:pPr>
              <w:jc w:val="center"/>
            </w:pPr>
            <w:r>
              <w:rPr>
                <w:b/>
              </w:rPr>
              <w:t>V</w:t>
            </w:r>
            <w:r>
              <w:rPr>
                <w:b/>
              </w:rPr>
              <w:t>IRKETID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40" w:color="FFFF00" w:fill="auto"/>
          </w:tcPr>
          <w:p w:rsidR="00000000" w:rsidRDefault="006C2F48">
            <w:pPr>
              <w:jc w:val="center"/>
            </w:pPr>
            <w:r>
              <w:rPr>
                <w:b/>
              </w:rPr>
              <w:t>HOLDBARHET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2F48">
            <w:r>
              <w:t>(Aldehydene)</w:t>
            </w:r>
          </w:p>
          <w:p w:rsidR="00000000" w:rsidRDefault="006C2F48"/>
          <w:p w:rsidR="00000000" w:rsidRDefault="006C2F48">
            <w:pPr>
              <w:rPr>
                <w:b/>
              </w:rPr>
            </w:pPr>
            <w:r>
              <w:rPr>
                <w:b/>
              </w:rPr>
              <w:t>Glutaraldehyd 2%</w:t>
            </w:r>
          </w:p>
          <w:p w:rsidR="00000000" w:rsidRDefault="006C2F48">
            <w:pPr>
              <w:rPr>
                <w:b/>
              </w:rPr>
            </w:pPr>
          </w:p>
          <w:p w:rsidR="00000000" w:rsidRDefault="006C2F48">
            <w:pPr>
              <w:rPr>
                <w:b/>
              </w:rPr>
            </w:pPr>
            <w:r>
              <w:rPr>
                <w:b/>
              </w:rPr>
              <w:t>Cidex 2%</w:t>
            </w:r>
          </w:p>
          <w:p w:rsidR="00000000" w:rsidRDefault="006C2F48">
            <w:pPr>
              <w:rPr>
                <w:b/>
              </w:rPr>
            </w:pPr>
          </w:p>
          <w:p w:rsidR="00000000" w:rsidRDefault="006C2F48">
            <w:pPr>
              <w:rPr>
                <w:b/>
              </w:rPr>
            </w:pPr>
            <w:r>
              <w:rPr>
                <w:b/>
              </w:rPr>
              <w:t>Cidex Long-life  2%</w:t>
            </w:r>
          </w:p>
          <w:p w:rsidR="00000000" w:rsidRDefault="006C2F48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2F48"/>
          <w:p w:rsidR="00000000" w:rsidRDefault="006C2F48">
            <w:r>
              <w:t>* 10 min. rengjort utstyr</w:t>
            </w:r>
          </w:p>
          <w:p w:rsidR="00000000" w:rsidRDefault="006C2F48">
            <w:r>
              <w:t>* 30 min. synlig forurenset</w:t>
            </w:r>
          </w:p>
          <w:p w:rsidR="00000000" w:rsidRDefault="006C2F48">
            <w:r>
              <w:t xml:space="preserve">   utstyr</w:t>
            </w:r>
          </w:p>
          <w:p w:rsidR="00000000" w:rsidRDefault="006C2F48">
            <w:r>
              <w:t>* 1 time til mycobakterier</w:t>
            </w:r>
          </w:p>
          <w:p w:rsidR="00000000" w:rsidRDefault="006C2F48">
            <w:r>
              <w:t xml:space="preserve">   (tbc)</w:t>
            </w:r>
          </w:p>
          <w:p w:rsidR="00000000" w:rsidRDefault="006C2F48"/>
          <w:p w:rsidR="00000000" w:rsidRDefault="006C2F48">
            <w:r>
              <w:t>Brukes til spesialutstyr, optisk utstyr.</w:t>
            </w:r>
          </w:p>
          <w:p w:rsidR="00000000" w:rsidRDefault="006C2F48"/>
          <w:p w:rsidR="00000000" w:rsidRDefault="006C2F48">
            <w:pPr>
              <w:rPr>
                <w:i/>
              </w:rPr>
            </w:pPr>
            <w:r>
              <w:t xml:space="preserve">NB! </w:t>
            </w:r>
            <w:r>
              <w:rPr>
                <w:i/>
              </w:rPr>
              <w:t xml:space="preserve"> IKKE godkjent brukt til</w:t>
            </w:r>
          </w:p>
          <w:p w:rsidR="00000000" w:rsidRDefault="006C2F48">
            <w:r>
              <w:rPr>
                <w:i/>
              </w:rPr>
              <w:t>flatedesinfeksjon.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C2F48">
            <w:r>
              <w:t>Glutaraldehyd:</w:t>
            </w:r>
          </w:p>
          <w:p w:rsidR="00000000" w:rsidRDefault="006C2F48">
            <w:r>
              <w:t>Konsentrat: 1år</w:t>
            </w:r>
          </w:p>
          <w:p w:rsidR="00000000" w:rsidRDefault="006C2F48">
            <w:r>
              <w:t>Cidex:</w:t>
            </w:r>
          </w:p>
          <w:p w:rsidR="00000000" w:rsidRDefault="006C2F48">
            <w:r>
              <w:t>Konsentrat: 2 år.</w:t>
            </w:r>
          </w:p>
          <w:p w:rsidR="00000000" w:rsidRDefault="006C2F48">
            <w:r>
              <w:t xml:space="preserve">Ubrukt bruksløsning: 1 uke </w:t>
            </w:r>
          </w:p>
          <w:p w:rsidR="00000000" w:rsidRDefault="006C2F48">
            <w:r>
              <w:t>etter aktivering.</w:t>
            </w:r>
          </w:p>
          <w:p w:rsidR="00000000" w:rsidRDefault="006C2F48"/>
          <w:p w:rsidR="00000000" w:rsidRDefault="006C2F48">
            <w:r>
              <w:t>Cidex Long-Life:</w:t>
            </w:r>
          </w:p>
          <w:p w:rsidR="00000000" w:rsidRDefault="006C2F48">
            <w:r>
              <w:t>Konsentrat: 2 år</w:t>
            </w:r>
          </w:p>
          <w:p w:rsidR="00000000" w:rsidRDefault="006C2F48">
            <w:r>
              <w:t>Ubrukt bruksløsning: 28 dager etter aktivering</w:t>
            </w:r>
          </w:p>
          <w:p w:rsidR="00000000" w:rsidRDefault="006C2F48">
            <w:r>
              <w:t>Bruksløsning tatt i bruk i desinf.kar, skiftes 2-3 ga</w:t>
            </w:r>
            <w:r>
              <w:t>nger pr. uke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2F48">
            <w:r>
              <w:t>(Oksydativt middel)</w:t>
            </w:r>
          </w:p>
          <w:p w:rsidR="00000000" w:rsidRDefault="006C2F48"/>
          <w:p w:rsidR="00000000" w:rsidRDefault="006C2F48"/>
          <w:p w:rsidR="00000000" w:rsidRDefault="006C2F48">
            <w:r>
              <w:rPr>
                <w:b/>
              </w:rPr>
              <w:t>Virkon 1%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2F48"/>
          <w:p w:rsidR="00000000" w:rsidRDefault="006C2F48">
            <w:r>
              <w:t>* 10 min. rengjort utstyr</w:t>
            </w:r>
          </w:p>
          <w:p w:rsidR="00000000" w:rsidRDefault="006C2F48">
            <w:r>
              <w:t>* 30 min. ikke rengjort utstyr</w:t>
            </w:r>
          </w:p>
          <w:p w:rsidR="00000000" w:rsidRDefault="006C2F48">
            <w:r>
              <w:t xml:space="preserve">   (fjern synlig søl før desinf.)</w:t>
            </w:r>
          </w:p>
          <w:p w:rsidR="00000000" w:rsidRDefault="006C2F48"/>
          <w:p w:rsidR="00000000" w:rsidRDefault="006C2F48">
            <w:r>
              <w:t xml:space="preserve">NB! </w:t>
            </w:r>
            <w:r>
              <w:rPr>
                <w:i/>
              </w:rPr>
              <w:t>Ikke godkjent til mycobakt</w:t>
            </w:r>
            <w: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C2F48"/>
          <w:p w:rsidR="00000000" w:rsidRDefault="006C2F48">
            <w:r>
              <w:t>Konsentrat: pulver 3 år</w:t>
            </w:r>
          </w:p>
          <w:p w:rsidR="00000000" w:rsidRDefault="006C2F48">
            <w:r>
              <w:t>Ubrukt bruksløsning: 1 uke</w:t>
            </w:r>
          </w:p>
          <w:p w:rsidR="00000000" w:rsidRDefault="006C2F48">
            <w:r>
              <w:t>Bruksløsning tatt i bruk i desinf</w:t>
            </w:r>
            <w:r>
              <w:t>.kar skiftes daglig / rett etter bruk.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2F48"/>
          <w:p w:rsidR="00000000" w:rsidRDefault="006C2F48">
            <w:pPr>
              <w:rPr>
                <w:b/>
              </w:rPr>
            </w:pPr>
          </w:p>
          <w:p w:rsidR="00000000" w:rsidRDefault="006C2F48">
            <w:r>
              <w:rPr>
                <w:b/>
              </w:rPr>
              <w:t>Perasafe</w:t>
            </w:r>
          </w:p>
          <w:p w:rsidR="00000000" w:rsidRDefault="006C2F48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2F48"/>
          <w:p w:rsidR="00000000" w:rsidRDefault="006C2F48"/>
          <w:p w:rsidR="00000000" w:rsidRDefault="006C2F48">
            <w:r>
              <w:t>* 10 minutters virketid</w:t>
            </w:r>
          </w:p>
          <w:p w:rsidR="00000000" w:rsidRDefault="006C2F48">
            <w:r>
              <w:t>*  30 minutter for     mycobakterier (tbc)</w:t>
            </w:r>
          </w:p>
          <w:p w:rsidR="00000000" w:rsidRDefault="006C2F48"/>
          <w:p w:rsidR="00000000" w:rsidRDefault="006C2F48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C2F48"/>
          <w:p w:rsidR="00000000" w:rsidRDefault="006C2F48"/>
          <w:p w:rsidR="00000000" w:rsidRDefault="006C2F48">
            <w:r>
              <w:t>Konsentrat: 1år</w:t>
            </w:r>
          </w:p>
          <w:p w:rsidR="00000000" w:rsidRDefault="006C2F48">
            <w:r>
              <w:t>Ubrukt bruksløsning: 1 døgn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2F48">
            <w:r>
              <w:t>(Alkohol)</w:t>
            </w:r>
          </w:p>
          <w:p w:rsidR="00000000" w:rsidRDefault="006C2F48">
            <w:pPr>
              <w:rPr>
                <w:b/>
              </w:rPr>
            </w:pPr>
          </w:p>
          <w:p w:rsidR="00000000" w:rsidRDefault="006C2F48">
            <w:r>
              <w:rPr>
                <w:b/>
              </w:rPr>
              <w:t>Desinfeksjonssprit 70%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2F48"/>
          <w:p w:rsidR="00000000" w:rsidRDefault="006C2F48">
            <w:r>
              <w:t xml:space="preserve">2-10 min. til rengjort </w:t>
            </w:r>
          </w:p>
          <w:p w:rsidR="00000000" w:rsidRDefault="006C2F48">
            <w:r>
              <w:t>utstyr og inventar/flater.</w:t>
            </w:r>
          </w:p>
          <w:p w:rsidR="00000000" w:rsidRDefault="006C2F48">
            <w:r>
              <w:t>Trenger dårlig inn i org. materiale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C2F48"/>
          <w:p w:rsidR="00000000" w:rsidRDefault="006C2F48">
            <w:r>
              <w:t>Fordamper. Oppbevares i tett forpakning (skrukork)</w:t>
            </w:r>
          </w:p>
          <w:p w:rsidR="00000000" w:rsidRDefault="006C2F48">
            <w:r>
              <w:t>Skiftes etter bruk/daglig</w:t>
            </w:r>
          </w:p>
        </w:tc>
      </w:tr>
    </w:tbl>
    <w:p w:rsidR="00000000" w:rsidRDefault="006C2F48">
      <w:pPr>
        <w:pStyle w:val="Overskrift1"/>
      </w:pPr>
      <w:r>
        <w:t>Referanse</w:t>
      </w:r>
    </w:p>
    <w:p w:rsidR="00000000" w:rsidRDefault="006C2F48">
      <w:r>
        <w:t>"Forskrifter om kjemiske desinfeksjonsmidler til teknisk bruk i helse-og sykepleie".Statens legemiddelkontroll  1995.</w:t>
      </w:r>
    </w:p>
    <w:sectPr w:rsidR="00000000">
      <w:headerReference w:type="default" r:id="rId7"/>
      <w:headerReference w:type="first" r:id="rId8"/>
      <w:footerReference w:type="first" r:id="rId9"/>
      <w:pgSz w:w="11907" w:h="16840"/>
      <w:pgMar w:top="1418" w:right="1418" w:bottom="1418" w:left="1418" w:header="708" w:footer="851" w:gutter="0"/>
      <w:paperSrc w:first="11" w:other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2F48">
      <w:pPr>
        <w:spacing w:after="0"/>
      </w:pPr>
      <w:r>
        <w:separator/>
      </w:r>
    </w:p>
  </w:endnote>
  <w:endnote w:type="continuationSeparator" w:id="0">
    <w:p w:rsidR="00000000" w:rsidRDefault="006C2F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2F48">
    <w:pPr>
      <w:pStyle w:val="Bunnteks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\FILENAME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KJEMDES.DOC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2F48">
      <w:pPr>
        <w:spacing w:after="0"/>
      </w:pPr>
      <w:r>
        <w:separator/>
      </w:r>
    </w:p>
  </w:footnote>
  <w:footnote w:type="continuationSeparator" w:id="0">
    <w:p w:rsidR="00000000" w:rsidRDefault="006C2F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2F48">
    <w:pPr>
      <w:tabs>
        <w:tab w:val="left" w:pos="-720"/>
      </w:tabs>
      <w:jc w:val="both"/>
      <w:rPr>
        <w:b/>
        <w:sz w:val="28"/>
      </w:rPr>
    </w:pPr>
    <w:r>
      <w:rPr>
        <w:b/>
        <w:sz w:val="28"/>
      </w:rPr>
      <w:t>SMITTEVERNBOK</w:t>
    </w:r>
  </w:p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985"/>
      <w:gridCol w:w="5103"/>
      <w:gridCol w:w="1985"/>
    </w:tblGrid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000000" w:rsidRDefault="006C2F48">
          <w:pPr>
            <w:tabs>
              <w:tab w:val="center" w:pos="980"/>
            </w:tabs>
          </w:pPr>
          <w:r>
            <w:tab/>
          </w:r>
          <w:r>
            <w:rPr>
              <w:b/>
              <w:sz w:val="40"/>
            </w:rPr>
            <w:t>IHS</w:t>
          </w:r>
        </w:p>
      </w:tc>
      <w:tc>
        <w:tcPr>
          <w:tcW w:w="510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</w:tcPr>
        <w:p w:rsidR="00000000" w:rsidRDefault="006C2F48">
          <w:pPr>
            <w:tabs>
              <w:tab w:val="left" w:pos="-720"/>
            </w:tabs>
          </w:pPr>
          <w:r>
            <w:t>R 8.2.8 -01</w:t>
          </w:r>
        </w:p>
        <w:p w:rsidR="00000000" w:rsidRDefault="006C2F48">
          <w:pPr>
            <w:tabs>
              <w:tab w:val="left" w:pos="-720"/>
            </w:tabs>
            <w:jc w:val="center"/>
            <w:rPr>
              <w:b/>
            </w:rPr>
          </w:pPr>
          <w:r>
            <w:rPr>
              <w:b/>
            </w:rPr>
            <w:t>KJEMISKE DESINFEKSJONSMIDLER</w:t>
          </w:r>
        </w:p>
        <w:p w:rsidR="00000000" w:rsidRDefault="006C2F48">
          <w:pPr>
            <w:tabs>
              <w:tab w:val="left" w:pos="-720"/>
            </w:tabs>
            <w:jc w:val="center"/>
          </w:pPr>
          <w:r>
            <w:rPr>
              <w:b/>
            </w:rPr>
            <w:t>- VALG OG BRUK</w:t>
          </w:r>
        </w:p>
      </w:tc>
      <w:tc>
        <w:tcPr>
          <w:tcW w:w="1985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000000" w:rsidRDefault="006C2F48">
          <w:pPr>
            <w:tabs>
              <w:tab w:val="left" w:pos="-720"/>
            </w:tabs>
          </w:pPr>
        </w:p>
        <w:p w:rsidR="00000000" w:rsidRDefault="006C2F48">
          <w:pPr>
            <w:tabs>
              <w:tab w:val="left" w:pos="-720"/>
            </w:tabs>
          </w:pPr>
          <w:r>
            <w:rPr>
              <w:snapToGrid w:val="0"/>
            </w:rPr>
            <w:t xml:space="preserve">Side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av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:rsidR="00000000" w:rsidRDefault="006C2F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2F48">
    <w:pPr>
      <w:pStyle w:val="Topptekst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KVALITETSSYSTEM for  SENTRALSJUKEHUSET i MØRE og ROMSDAL</w:t>
    </w:r>
  </w:p>
  <w:p w:rsidR="00000000" w:rsidRDefault="006C2F48">
    <w:pPr>
      <w:pStyle w:val="Topptekst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INFEKSJONSKONTROLLPROGRAM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371"/>
      <w:gridCol w:w="1701"/>
    </w:tblGrid>
    <w:tr w:rsidR="0000000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70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000000" w:rsidRDefault="006C2F48">
          <w:pPr>
            <w:pStyle w:val="Topptekst"/>
          </w:pPr>
          <w:r>
            <w:t xml:space="preserve"> </w:t>
          </w: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000000" w:rsidRDefault="006C2F48">
          <w:pPr>
            <w:pStyle w:val="Topptekst"/>
            <w:jc w:val="center"/>
          </w:pPr>
          <w:r>
            <w:t xml:space="preserve"> Retningslinjer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000000" w:rsidRDefault="006C2F48">
          <w:pPr>
            <w:pStyle w:val="Topptekst"/>
            <w:rPr>
              <w:b/>
            </w:rPr>
          </w:pPr>
          <w:r>
            <w:rPr>
              <w:b/>
            </w:rPr>
            <w:t xml:space="preserve">Nivå: 1. 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6C2F48">
          <w:pPr>
            <w:pStyle w:val="Topptekst"/>
            <w:spacing w:before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SMR</w:t>
          </w: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0C0C0"/>
        </w:tcPr>
        <w:p w:rsidR="00000000" w:rsidRDefault="006C2F48">
          <w:pPr>
            <w:pStyle w:val="Topptekst"/>
            <w:spacing w:before="120" w:line="360" w:lineRule="atLeast"/>
            <w:jc w:val="center"/>
            <w:rPr>
              <w:rFonts w:ascii="Arial Narrow" w:hAnsi="Arial Narrow"/>
              <w:b/>
              <w:sz w:val="36"/>
            </w:rPr>
          </w:pPr>
          <w:r>
            <w:rPr>
              <w:rFonts w:ascii="Arial Narrow" w:hAnsi="Arial Narrow"/>
              <w:b/>
              <w:sz w:val="36"/>
            </w:rPr>
            <w:t>Valg og bruk av kjemiske desinfeksjonsmi</w:t>
          </w:r>
          <w:r>
            <w:rPr>
              <w:rFonts w:ascii="Arial Narrow" w:hAnsi="Arial Narrow"/>
              <w:b/>
              <w:sz w:val="36"/>
            </w:rPr>
            <w:t>dler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6C2F48">
          <w:pPr>
            <w:pStyle w:val="Topptekst"/>
          </w:pPr>
          <w:r>
            <w:t xml:space="preserve">Side : </w:t>
          </w:r>
          <w:r>
            <w:fldChar w:fldCharType="begin"/>
          </w:r>
          <w:r>
            <w:instrText xml:space="preserve">\PAGE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:rsidR="00000000" w:rsidRDefault="006C2F48">
          <w:pPr>
            <w:pStyle w:val="Topptekst"/>
          </w:pPr>
          <w:r>
            <w:t xml:space="preserve">Av   : </w:t>
          </w:r>
          <w:r>
            <w:fldChar w:fldCharType="begin"/>
          </w:r>
          <w:r>
            <w:instrText xml:space="preserve">\NUMPAGES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6C2F48">
    <w:pPr>
      <w:pStyle w:val="Topptekst"/>
      <w:rPr>
        <w:sz w:val="8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3686"/>
      <w:gridCol w:w="3686"/>
      <w:gridCol w:w="1701"/>
    </w:tblGrid>
    <w:tr w:rsidR="0000000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6C2F48">
          <w:pPr>
            <w:pStyle w:val="Bunntekst"/>
          </w:pPr>
          <w:r>
            <w:t xml:space="preserve">Revisjon :    </w:t>
          </w:r>
        </w:p>
        <w:p w:rsidR="00000000" w:rsidRDefault="006C2F48">
          <w:pPr>
            <w:pStyle w:val="Bunntekst"/>
          </w:pPr>
          <w:r>
            <w:t>Erstatter :ny</w:t>
          </w:r>
        </w:p>
      </w:tc>
      <w:tc>
        <w:tcPr>
          <w:tcW w:w="368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6C2F48">
          <w:pPr>
            <w:pStyle w:val="Bunntekst"/>
          </w:pPr>
          <w:r>
            <w:t>Utarbeidet av: Hygienekomiteen v/ I.A. Tusvik</w:t>
          </w:r>
        </w:p>
      </w:tc>
      <w:tc>
        <w:tcPr>
          <w:tcW w:w="368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00000" w:rsidRDefault="006C2F48">
          <w:pPr>
            <w:pStyle w:val="Bunntekst"/>
          </w:pPr>
          <w:r>
            <w:t>Godkjent av:Direktør A. Eidsvik</w:t>
          </w:r>
        </w:p>
      </w:tc>
      <w:tc>
        <w:tcPr>
          <w:tcW w:w="1701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6C2F48">
          <w:pPr>
            <w:pStyle w:val="Bunntekst"/>
          </w:pPr>
          <w:r>
            <w:t>Dato:</w:t>
          </w:r>
        </w:p>
      </w:tc>
    </w:tr>
  </w:tbl>
  <w:p w:rsidR="00000000" w:rsidRDefault="006C2F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C75"/>
    <w:multiLevelType w:val="multilevel"/>
    <w:tmpl w:val="5B4E3492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F48"/>
    <w:rsid w:val="006C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ACB1-613F-4CC6-860D-B22369DB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360"/>
      </w:tabs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qFormat/>
    <w:pPr>
      <w:keepNext/>
      <w:tabs>
        <w:tab w:val="left" w:pos="720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styleId="Brdtekst">
    <w:name w:val="Body Text"/>
    <w:basedOn w:val="Normal"/>
    <w:semiHidden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nherred1\netdata\off97\word\maler\som\blank%20mal%20KS-we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mal KS-web.dot</Template>
  <TotalTime>0</TotalTime>
  <Pages>2</Pages>
  <Words>1298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Rev.nr.:_</vt:lpstr>
    </vt:vector>
  </TitlesOfParts>
  <Company>ForumNett Online AS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Rev.nr.:_</dc:title>
  <dc:subject>RiT Nivå 1 Prosedyre 14-0005.</dc:subject>
  <dc:creator>Kristin Bratseth</dc:creator>
  <cp:keywords/>
  <dc:description/>
  <cp:lastModifiedBy>sys_rpa_robot01_prd</cp:lastModifiedBy>
  <cp:revision>2</cp:revision>
  <cp:lastPrinted>2000-03-06T09:05:00Z</cp:lastPrinted>
  <dcterms:created xsi:type="dcterms:W3CDTF">2021-09-29T14:34:00Z</dcterms:created>
  <dcterms:modified xsi:type="dcterms:W3CDTF">2021-09-29T14:34:00Z</dcterms:modified>
</cp:coreProperties>
</file>