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20" w:rsidRDefault="00B02749">
      <w:pPr>
        <w:pStyle w:val="Overskrift1"/>
        <w:rPr>
          <w:sz w:val="28"/>
        </w:rPr>
      </w:pPr>
      <w:bookmarkStart w:id="0" w:name="_GoBack"/>
      <w:bookmarkEnd w:id="0"/>
      <w:r>
        <w:rPr>
          <w:sz w:val="28"/>
        </w:rPr>
        <w:br/>
      </w:r>
      <w:r w:rsidR="00062520">
        <w:rPr>
          <w:sz w:val="28"/>
        </w:rPr>
        <w:t>Desinfeksjon før blodkulturtaking</w:t>
      </w:r>
    </w:p>
    <w:p w:rsidR="00062520" w:rsidRDefault="00062520">
      <w:pPr>
        <w:pStyle w:val="Overskrift3"/>
      </w:pPr>
      <w:r>
        <w:t>Korleis desinfeksjonen vert utført er viktigare enn kva desinfeksjonsmiddel ein brukar</w:t>
      </w:r>
    </w:p>
    <w:p w:rsidR="00062520" w:rsidRDefault="00062520">
      <w:r>
        <w:t>Det er vist at når personar som har fått spesiell opplæring, tar prøvene, vert ein signifikant mindre del av blodkulturane ureina av hudflora. Det ein investerer i opplæring, kostar mindre enn ekstrautgiftene ein får pga falske positive blodkulturar.</w:t>
      </w:r>
      <w:r>
        <w:rPr>
          <w:rStyle w:val="Sluttnotereferanse"/>
        </w:rPr>
        <w:endnoteReference w:id="1"/>
      </w:r>
    </w:p>
    <w:p w:rsidR="00062520" w:rsidRDefault="00062520"/>
    <w:p w:rsidR="00062520" w:rsidRDefault="00062520">
      <w:r>
        <w:t xml:space="preserve">Kontaminasjonsraten (prosent kontaminerte blodkulturar) er ein viktig kvalitetsindikator. Akseptert rate internasjonalt: </w:t>
      </w:r>
      <w:r>
        <w:rPr>
          <w:u w:val="single"/>
        </w:rPr>
        <w:t>&lt;</w:t>
      </w:r>
      <w:r>
        <w:t>3%</w:t>
      </w:r>
      <w:r>
        <w:rPr>
          <w:rStyle w:val="Sluttnotereferanse"/>
        </w:rPr>
        <w:t>1</w:t>
      </w:r>
      <w:r>
        <w:t>.</w:t>
      </w:r>
    </w:p>
    <w:p w:rsidR="00062520" w:rsidRDefault="00062520"/>
    <w:p w:rsidR="00062520" w:rsidRDefault="00062520">
      <w:r>
        <w:t>Regelmessig rapportering av kontaminasjonsraten bør gjennomførast. Kvar 3. mnd? Kvar 6. mnd? Ein gong i året?</w:t>
      </w:r>
    </w:p>
    <w:p w:rsidR="00062520" w:rsidRDefault="00062520"/>
    <w:p w:rsidR="00062520" w:rsidRDefault="00062520"/>
    <w:p w:rsidR="00062520" w:rsidRDefault="00062520">
      <w:pPr>
        <w:pStyle w:val="Overskrift3"/>
      </w:pPr>
      <w:r>
        <w:t>Desinfeksjonsmiddelet bør vera klorhexidinsprit</w:t>
      </w:r>
    </w:p>
    <w:p w:rsidR="00062520" w:rsidRDefault="00062520">
      <w:r>
        <w:t xml:space="preserve">Eit søk i PUBMED viser at klorhexidinsprit er samanlikna med jodhaldige desinfeksjonsmiddel og funne å vera like bra eller betre. Det er mindre å finne om isopropanol. Ein studie viser at isopropanol er like bra som etanol og som jod-haldige desinfeksjonsmiddel. Ingen studier som samanliknar isopropanol og klorhexidinsprit er å finne i PUBMED. </w:t>
      </w:r>
    </w:p>
    <w:p w:rsidR="00062520" w:rsidRDefault="0006252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460"/>
        <w:gridCol w:w="756"/>
        <w:gridCol w:w="1685"/>
        <w:gridCol w:w="595"/>
        <w:gridCol w:w="3549"/>
      </w:tblGrid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Desinfeksjonsmiddel</w:t>
            </w: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%*</w:t>
            </w: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P-verdi</w:t>
            </w: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Referanse</w:t>
            </w:r>
          </w:p>
        </w:tc>
      </w:tr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t>Klorhexidinsprit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Jodsprit</w:t>
            </w: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Ingen signifikant skilnad</w:t>
            </w: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Trautner et al.</w:t>
            </w:r>
            <w:r>
              <w:rPr>
                <w:rStyle w:val="Sluttnotereferanse"/>
                <w:sz w:val="20"/>
              </w:rPr>
              <w:endnoteReference w:id="2"/>
            </w:r>
          </w:p>
        </w:tc>
      </w:tr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pStyle w:val="Overskrift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Klorhexidinsprit</w:t>
            </w:r>
          </w:p>
          <w:p w:rsidR="00062520" w:rsidRDefault="0006252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Povidin-jod</w:t>
            </w:r>
          </w:p>
          <w:p w:rsidR="00062520" w:rsidRDefault="00062520">
            <w:pPr>
              <w:rPr>
                <w:sz w:val="20"/>
                <w:lang w:val="en-GB"/>
              </w:rPr>
            </w:pP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1,4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Signifikant skilnad</w:t>
            </w: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Mimoz et al.</w:t>
            </w:r>
            <w:r>
              <w:rPr>
                <w:rStyle w:val="Sluttnotereferanse"/>
                <w:sz w:val="20"/>
              </w:rPr>
              <w:endnoteReference w:id="3"/>
            </w:r>
          </w:p>
        </w:tc>
      </w:tr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t>Klorhexidinsprit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Jodtinktur</w:t>
            </w: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3,1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Ingen signifikant skilnad</w:t>
            </w: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Barenfanger et al.</w:t>
            </w:r>
            <w:r>
              <w:rPr>
                <w:rStyle w:val="Sluttnotereferanse"/>
                <w:sz w:val="20"/>
              </w:rPr>
              <w:endnoteReference w:id="4"/>
            </w:r>
          </w:p>
        </w:tc>
      </w:tr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</w:p>
        </w:tc>
      </w:tr>
      <w:tr w:rsidR="00062520">
        <w:tblPrEx>
          <w:tblCellMar>
            <w:top w:w="0" w:type="dxa"/>
            <w:bottom w:w="0" w:type="dxa"/>
          </w:tblCellMar>
        </w:tblPrEx>
        <w:tc>
          <w:tcPr>
            <w:tcW w:w="2167" w:type="dxa"/>
          </w:tcPr>
          <w:p w:rsidR="00062520" w:rsidRDefault="00062520">
            <w:pPr>
              <w:pStyle w:val="Overskrift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Isopropanol 70%</w:t>
            </w:r>
          </w:p>
          <w:p w:rsidR="00062520" w:rsidRDefault="0006252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Povidon-jod</w:t>
            </w:r>
          </w:p>
          <w:p w:rsidR="00062520" w:rsidRDefault="0006252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Jodtinktur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Etanol 70%</w:t>
            </w:r>
          </w:p>
        </w:tc>
        <w:tc>
          <w:tcPr>
            <w:tcW w:w="460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2,9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2,6</w:t>
            </w:r>
          </w:p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56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1685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Ingen signifikante skilnader</w:t>
            </w:r>
          </w:p>
        </w:tc>
        <w:tc>
          <w:tcPr>
            <w:tcW w:w="595" w:type="dxa"/>
          </w:tcPr>
          <w:p w:rsidR="00062520" w:rsidRDefault="00062520">
            <w:pPr>
              <w:rPr>
                <w:sz w:val="20"/>
              </w:rPr>
            </w:pPr>
          </w:p>
        </w:tc>
        <w:tc>
          <w:tcPr>
            <w:tcW w:w="3549" w:type="dxa"/>
          </w:tcPr>
          <w:p w:rsidR="00062520" w:rsidRDefault="00062520">
            <w:pPr>
              <w:rPr>
                <w:sz w:val="20"/>
              </w:rPr>
            </w:pPr>
            <w:r>
              <w:rPr>
                <w:sz w:val="20"/>
              </w:rPr>
              <w:t>Calfee et al.</w:t>
            </w:r>
            <w:r>
              <w:rPr>
                <w:rStyle w:val="Sluttnotereferanse"/>
                <w:sz w:val="20"/>
              </w:rPr>
              <w:endnoteReference w:id="5"/>
            </w:r>
          </w:p>
        </w:tc>
      </w:tr>
    </w:tbl>
    <w:p w:rsidR="00062520" w:rsidRDefault="00062520">
      <w:pPr>
        <w:pStyle w:val="Sluttnotetekst"/>
      </w:pPr>
      <w:r>
        <w:rPr>
          <w:b/>
          <w:bCs/>
        </w:rPr>
        <w:t>*Kontaminasjonsrate (kontaminerte blodkulturar/alle blodkulturar x 100%</w:t>
      </w:r>
      <w:r>
        <w:t>)</w:t>
      </w:r>
    </w:p>
    <w:p w:rsidR="00062520" w:rsidRDefault="00062520"/>
    <w:p w:rsidR="00062520" w:rsidRDefault="00062520">
      <w:pPr>
        <w:pStyle w:val="Brdtekst"/>
      </w:pPr>
      <w:r>
        <w:t>Klorhexidinsprit bør vera det desinfeksjonmiddelt vi brukar før taking av blodkultur, fordi:</w:t>
      </w:r>
    </w:p>
    <w:p w:rsidR="00062520" w:rsidRDefault="00062520">
      <w:pPr>
        <w:numPr>
          <w:ilvl w:val="0"/>
          <w:numId w:val="1"/>
        </w:numPr>
      </w:pPr>
      <w:r>
        <w:t>Effekten av klorhexidinsprit er betre dokumentert enn effekten av isopropanol.</w:t>
      </w:r>
    </w:p>
    <w:p w:rsidR="00062520" w:rsidRDefault="00062520">
      <w:pPr>
        <w:numPr>
          <w:ilvl w:val="0"/>
          <w:numId w:val="1"/>
        </w:numPr>
      </w:pPr>
      <w:r>
        <w:t>Desinfeksjonsmåten (tupferar fukta med klorhexidinsprit) sikrar at ei tilstrekkeleg mengde med desinfeksjonsmiddel vert brukt.</w:t>
      </w:r>
    </w:p>
    <w:p w:rsidR="00062520" w:rsidRDefault="00062520">
      <w:pPr>
        <w:pStyle w:val="Overskrift3"/>
      </w:pPr>
    </w:p>
    <w:p w:rsidR="00062520" w:rsidRDefault="00062520"/>
    <w:p w:rsidR="00062520" w:rsidRDefault="00062520">
      <w:r>
        <w:t>21.06 05             Arne Mehl</w:t>
      </w:r>
    </w:p>
    <w:p w:rsidR="00062520" w:rsidRDefault="00062520">
      <w:pPr>
        <w:pStyle w:val="Overskrift3"/>
      </w:pPr>
      <w:r>
        <w:lastRenderedPageBreak/>
        <w:t>Referansar:</w:t>
      </w:r>
    </w:p>
    <w:sectPr w:rsidR="00062520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D1" w:rsidRDefault="001B0ED1">
      <w:r>
        <w:separator/>
      </w:r>
    </w:p>
  </w:endnote>
  <w:endnote w:type="continuationSeparator" w:id="0">
    <w:p w:rsidR="001B0ED1" w:rsidRDefault="001B0ED1">
      <w:r>
        <w:continuationSeparator/>
      </w:r>
    </w:p>
  </w:endnote>
  <w:endnote w:id="1">
    <w:p w:rsidR="00062520" w:rsidRDefault="00062520">
      <w:pPr>
        <w:pStyle w:val="Sluttnotetekst"/>
        <w:rPr>
          <w:rFonts w:ascii="Arial" w:hAnsi="Arial" w:cs="Arial"/>
          <w:color w:val="000000"/>
          <w:sz w:val="18"/>
        </w:rPr>
      </w:pPr>
      <w:r>
        <w:rPr>
          <w:rStyle w:val="Sluttnotereferanse"/>
        </w:rPr>
        <w:endnoteRef/>
      </w:r>
      <w:r>
        <w:rPr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lang w:val="de-DE"/>
        </w:rPr>
        <w:t xml:space="preserve">Weinbaum FI, Lavie S, Danek M, Sixsmith D, Heinrich GF, Mills SS. </w:t>
      </w:r>
      <w:r>
        <w:rPr>
          <w:rFonts w:ascii="Arial" w:hAnsi="Arial" w:cs="Arial"/>
          <w:color w:val="000000"/>
          <w:sz w:val="18"/>
          <w:lang w:val="en-GB"/>
        </w:rPr>
        <w:t xml:space="preserve">Doing it right the first time: quality improvement and the contaminant blood culture. J Clin Microbiol. </w:t>
      </w:r>
      <w:r>
        <w:rPr>
          <w:rFonts w:ascii="Arial" w:hAnsi="Arial" w:cs="Arial"/>
          <w:color w:val="000000"/>
          <w:sz w:val="18"/>
        </w:rPr>
        <w:t>1997 Mar;35(3):563-5.</w:t>
      </w:r>
    </w:p>
    <w:p w:rsidR="00062520" w:rsidRDefault="00062520">
      <w:pPr>
        <w:pStyle w:val="Sluttnotetekst"/>
      </w:pPr>
    </w:p>
  </w:endnote>
  <w:endnote w:id="2">
    <w:p w:rsidR="00062520" w:rsidRDefault="00062520">
      <w:pPr>
        <w:pStyle w:val="Sluttnotetekst"/>
        <w:rPr>
          <w:rFonts w:ascii="Arial" w:hAnsi="Arial" w:cs="Arial"/>
          <w:color w:val="000000"/>
          <w:sz w:val="18"/>
        </w:rPr>
      </w:pPr>
      <w:r>
        <w:rPr>
          <w:rStyle w:val="Sluttnotereferanse"/>
        </w:rPr>
        <w:endnoteRef/>
      </w:r>
      <w:r>
        <w:rPr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lang w:val="de-DE"/>
        </w:rPr>
        <w:t xml:space="preserve">Trautner BW, Clarridge JE, Darouiche RO. </w:t>
      </w:r>
      <w:r>
        <w:rPr>
          <w:rFonts w:ascii="Arial" w:hAnsi="Arial" w:cs="Arial"/>
          <w:color w:val="000000"/>
          <w:sz w:val="18"/>
          <w:lang w:val="en-GB"/>
        </w:rPr>
        <w:t xml:space="preserve">Skin antisepsis kits containing alcohol and chlorhexidine gluconate or tincture of iodine are associated with low rates of blood culture contamination. Infect Control Hosp Epidemiol. </w:t>
      </w:r>
      <w:r>
        <w:rPr>
          <w:rFonts w:ascii="Arial" w:hAnsi="Arial" w:cs="Arial"/>
          <w:color w:val="000000"/>
          <w:sz w:val="18"/>
        </w:rPr>
        <w:t>2002 Jul;23(7):397-401.</w:t>
      </w:r>
    </w:p>
    <w:p w:rsidR="00062520" w:rsidRDefault="00062520">
      <w:pPr>
        <w:pStyle w:val="Sluttnotetekst"/>
      </w:pPr>
    </w:p>
  </w:endnote>
  <w:endnote w:id="3">
    <w:p w:rsidR="00062520" w:rsidRDefault="00062520">
      <w:pPr>
        <w:pStyle w:val="Sluttnotetekst"/>
        <w:rPr>
          <w:rFonts w:ascii="Arial" w:hAnsi="Arial" w:cs="Arial"/>
          <w:color w:val="000000"/>
          <w:sz w:val="18"/>
          <w:lang w:val="de-DE"/>
        </w:rPr>
      </w:pPr>
      <w:r>
        <w:rPr>
          <w:rStyle w:val="Sluttnotereferanse"/>
        </w:rPr>
        <w:endnoteRef/>
      </w:r>
      <w:r>
        <w:rPr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lang w:val="en-GB"/>
        </w:rPr>
        <w:t xml:space="preserve">Mimoz O, Karim A, Mercat A, Cosseron M, Falissard B, Parker F, Richard C, Samii K, Nordmann P. Chlorhexidine compared with povidone-iodine as skin preparation before blood culture. A randomized, controlled trial. </w:t>
      </w:r>
      <w:r>
        <w:rPr>
          <w:rFonts w:ascii="Arial" w:hAnsi="Arial" w:cs="Arial"/>
          <w:color w:val="000000"/>
          <w:sz w:val="18"/>
          <w:lang w:val="de-DE"/>
        </w:rPr>
        <w:t>Ann Intern Med. 1999 Dec 7;131(11):834-7.</w:t>
      </w:r>
    </w:p>
    <w:p w:rsidR="00062520" w:rsidRDefault="00062520">
      <w:pPr>
        <w:pStyle w:val="Sluttnotetekst"/>
      </w:pPr>
    </w:p>
  </w:endnote>
  <w:endnote w:id="4">
    <w:p w:rsidR="00062520" w:rsidRDefault="00062520">
      <w:pPr>
        <w:pStyle w:val="Sluttnotetekst"/>
        <w:rPr>
          <w:rFonts w:ascii="Arial" w:hAnsi="Arial" w:cs="Arial"/>
          <w:color w:val="000000"/>
          <w:sz w:val="18"/>
          <w:lang w:val="en-GB"/>
        </w:rPr>
      </w:pPr>
      <w:r>
        <w:rPr>
          <w:rStyle w:val="Sluttnotereferanse"/>
        </w:rPr>
        <w:endnoteRef/>
      </w:r>
      <w:r>
        <w:t xml:space="preserve"> </w:t>
      </w:r>
      <w:r>
        <w:rPr>
          <w:rFonts w:ascii="Arial" w:hAnsi="Arial" w:cs="Arial"/>
          <w:color w:val="000000"/>
          <w:sz w:val="18"/>
        </w:rPr>
        <w:t xml:space="preserve">Barenfanger J, Drake C, Lawhorn J, Verhulst SJ. </w:t>
      </w:r>
      <w:r>
        <w:rPr>
          <w:rFonts w:ascii="Arial" w:hAnsi="Arial" w:cs="Arial"/>
          <w:color w:val="000000"/>
          <w:sz w:val="18"/>
          <w:lang w:val="en-GB"/>
        </w:rPr>
        <w:t>Comparison of chlorhexidine and tincture of iodine for skin antisepsis in preparation for blood sample collection. J Clin Microbiol. 2004 May;42(5):2216-7.</w:t>
      </w:r>
    </w:p>
    <w:p w:rsidR="00062520" w:rsidRDefault="00062520">
      <w:pPr>
        <w:pStyle w:val="Sluttnotetekst"/>
      </w:pPr>
    </w:p>
  </w:endnote>
  <w:endnote w:id="5">
    <w:p w:rsidR="00062520" w:rsidRDefault="00062520">
      <w:pPr>
        <w:pStyle w:val="Sluttnotetekst"/>
      </w:pPr>
      <w:r>
        <w:rPr>
          <w:rStyle w:val="Sluttnotereferanse"/>
        </w:rPr>
        <w:endnoteRef/>
      </w:r>
      <w:r>
        <w:rPr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lang w:val="en-GB"/>
        </w:rPr>
        <w:t xml:space="preserve">Calfee DP, Farr BM. Comparison of four antiseptic preparations for skin in the prevention of contamination of percutaneously drawn blood cultures: a randomized trial. J Clin Microbiol. </w:t>
      </w:r>
      <w:r>
        <w:rPr>
          <w:rFonts w:ascii="Arial" w:hAnsi="Arial" w:cs="Arial"/>
          <w:color w:val="000000"/>
          <w:sz w:val="18"/>
        </w:rPr>
        <w:t>2002 May;40(5):1660-5.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D1" w:rsidRDefault="001B0ED1">
      <w:r>
        <w:separator/>
      </w:r>
    </w:p>
  </w:footnote>
  <w:footnote w:type="continuationSeparator" w:id="0">
    <w:p w:rsidR="001B0ED1" w:rsidRDefault="001B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118"/>
      <w:gridCol w:w="4606"/>
    </w:tblGrid>
    <w:tr w:rsidR="00B02749" w:rsidRPr="000078F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488" w:type="dxa"/>
          <w:vAlign w:val="center"/>
        </w:tcPr>
        <w:p w:rsidR="00B02749" w:rsidRPr="000078FC" w:rsidRDefault="00B02749" w:rsidP="006352EE">
          <w:pPr>
            <w:spacing w:before="100" w:beforeAutospacing="1" w:after="100" w:afterAutospacing="1"/>
          </w:pPr>
          <w:r w:rsidRPr="000078FC">
            <w:t>ALM-MM</w:t>
          </w:r>
        </w:p>
      </w:tc>
      <w:tc>
        <w:tcPr>
          <w:tcW w:w="7724" w:type="dxa"/>
          <w:gridSpan w:val="2"/>
          <w:vMerge w:val="restart"/>
          <w:vAlign w:val="center"/>
        </w:tcPr>
        <w:p w:rsidR="00B02749" w:rsidRPr="00B02749" w:rsidRDefault="00B02749" w:rsidP="006352EE">
          <w:pPr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B02749">
            <w:rPr>
              <w:b/>
              <w:sz w:val="28"/>
            </w:rPr>
            <w:t>Desinfeksjon før blodkulturtaking</w:t>
          </w:r>
        </w:p>
      </w:tc>
    </w:tr>
    <w:tr w:rsidR="00B02749" w:rsidRPr="005E1BB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488" w:type="dxa"/>
          <w:tcBorders>
            <w:bottom w:val="single" w:sz="4" w:space="0" w:color="auto"/>
          </w:tcBorders>
          <w:vAlign w:val="center"/>
        </w:tcPr>
        <w:p w:rsidR="00B02749" w:rsidRPr="000078FC" w:rsidRDefault="00B02749" w:rsidP="006352EE">
          <w:pPr>
            <w:spacing w:before="100" w:beforeAutospacing="1" w:after="100" w:afterAutospacing="1"/>
          </w:pPr>
          <w:r w:rsidRPr="000078FC">
            <w:t xml:space="preserve">Side </w:t>
          </w:r>
          <w:r w:rsidRPr="000078FC">
            <w:fldChar w:fldCharType="begin"/>
          </w:r>
          <w:r w:rsidRPr="000078FC">
            <w:instrText xml:space="preserve"> PAGE </w:instrText>
          </w:r>
          <w:r w:rsidRPr="000078FC">
            <w:fldChar w:fldCharType="separate"/>
          </w:r>
          <w:r w:rsidR="008E39AE">
            <w:rPr>
              <w:noProof/>
            </w:rPr>
            <w:t>1</w:t>
          </w:r>
          <w:r w:rsidRPr="000078FC">
            <w:fldChar w:fldCharType="end"/>
          </w:r>
          <w:r w:rsidRPr="000078FC">
            <w:t xml:space="preserve"> av </w:t>
          </w:r>
          <w:r w:rsidRPr="000078FC">
            <w:fldChar w:fldCharType="begin"/>
          </w:r>
          <w:r w:rsidRPr="000078FC">
            <w:instrText xml:space="preserve"> NUMPAGES </w:instrText>
          </w:r>
          <w:r w:rsidRPr="000078FC">
            <w:fldChar w:fldCharType="separate"/>
          </w:r>
          <w:r w:rsidR="008E39AE">
            <w:rPr>
              <w:noProof/>
            </w:rPr>
            <w:t>1</w:t>
          </w:r>
          <w:r w:rsidRPr="000078FC">
            <w:fldChar w:fldCharType="end"/>
          </w:r>
        </w:p>
      </w:tc>
      <w:tc>
        <w:tcPr>
          <w:tcW w:w="7724" w:type="dxa"/>
          <w:gridSpan w:val="2"/>
          <w:vMerge/>
          <w:tcBorders>
            <w:bottom w:val="single" w:sz="4" w:space="0" w:color="auto"/>
          </w:tcBorders>
          <w:vAlign w:val="center"/>
        </w:tcPr>
        <w:p w:rsidR="00B02749" w:rsidRPr="005E1BB0" w:rsidRDefault="00B02749" w:rsidP="006352EE">
          <w:pPr>
            <w:spacing w:before="100" w:beforeAutospacing="1" w:after="100" w:afterAutospacing="1"/>
            <w:rPr>
              <w:sz w:val="20"/>
            </w:rPr>
          </w:pPr>
        </w:p>
      </w:tc>
    </w:tr>
    <w:tr w:rsidR="00B02749" w:rsidRPr="005E1BB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4606" w:type="dxa"/>
          <w:gridSpan w:val="2"/>
          <w:tcBorders>
            <w:right w:val="nil"/>
          </w:tcBorders>
          <w:vAlign w:val="center"/>
        </w:tcPr>
        <w:p w:rsidR="00B02749" w:rsidRPr="005E1BB0" w:rsidRDefault="00B02749" w:rsidP="006352EE">
          <w:pPr>
            <w:spacing w:before="100" w:beforeAutospacing="1" w:after="100" w:afterAutospacing="1"/>
            <w:rPr>
              <w:sz w:val="20"/>
            </w:rPr>
          </w:pPr>
          <w:r>
            <w:rPr>
              <w:sz w:val="20"/>
            </w:rPr>
            <w:t>EQS document: 15988 v.1.0</w:t>
          </w:r>
        </w:p>
      </w:tc>
      <w:tc>
        <w:tcPr>
          <w:tcW w:w="4606" w:type="dxa"/>
          <w:tcBorders>
            <w:left w:val="nil"/>
          </w:tcBorders>
          <w:vAlign w:val="center"/>
        </w:tcPr>
        <w:p w:rsidR="00B02749" w:rsidRPr="005E1BB0" w:rsidRDefault="00B02749" w:rsidP="006352EE">
          <w:pPr>
            <w:spacing w:before="100" w:beforeAutospacing="1" w:after="100" w:afterAutospacing="1"/>
            <w:jc w:val="right"/>
            <w:rPr>
              <w:sz w:val="20"/>
            </w:rPr>
          </w:pPr>
          <w:r w:rsidRPr="005E1BB0">
            <w:rPr>
              <w:sz w:val="20"/>
            </w:rPr>
            <w:t>Utskriftsdato:</w:t>
          </w:r>
          <w:r w:rsidRPr="005E1BB0">
            <w:rPr>
              <w:sz w:val="20"/>
            </w:rPr>
            <w:fldChar w:fldCharType="begin"/>
          </w:r>
          <w:r w:rsidRPr="005E1BB0">
            <w:rPr>
              <w:sz w:val="20"/>
            </w:rPr>
            <w:instrText xml:space="preserve"> DATE \@ "dd.MM.yyyy" </w:instrText>
          </w:r>
          <w:r w:rsidRPr="005E1BB0">
            <w:rPr>
              <w:sz w:val="20"/>
            </w:rPr>
            <w:fldChar w:fldCharType="separate"/>
          </w:r>
          <w:r w:rsidR="008E39AE">
            <w:rPr>
              <w:noProof/>
              <w:sz w:val="20"/>
            </w:rPr>
            <w:t>29.09.2021</w:t>
          </w:r>
          <w:r w:rsidRPr="005E1BB0">
            <w:rPr>
              <w:sz w:val="20"/>
            </w:rPr>
            <w:fldChar w:fldCharType="end"/>
          </w:r>
        </w:p>
      </w:tc>
    </w:tr>
  </w:tbl>
  <w:p w:rsidR="00B02749" w:rsidRDefault="00B027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3B64"/>
    <w:multiLevelType w:val="hybridMultilevel"/>
    <w:tmpl w:val="3288EC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520"/>
    <w:rsid w:val="00062520"/>
    <w:rsid w:val="001B0ED1"/>
    <w:rsid w:val="0049290C"/>
    <w:rsid w:val="006352EE"/>
    <w:rsid w:val="008E39AE"/>
    <w:rsid w:val="00A20213"/>
    <w:rsid w:val="00B02749"/>
    <w:rsid w:val="00B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3E25-5B83-42B5-804F-43184DF9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  <w:rPr>
      <w:sz w:val="20"/>
    </w:rPr>
  </w:style>
  <w:style w:type="character" w:styleId="Sluttnotereferanse">
    <w:name w:val="endnote reference"/>
    <w:basedOn w:val="Standardskriftforavsnitt"/>
    <w:semiHidden/>
    <w:rPr>
      <w:vertAlign w:val="superscript"/>
    </w:rPr>
  </w:style>
  <w:style w:type="character" w:styleId="Hyperkobling">
    <w:name w:val="Hyperlink"/>
    <w:basedOn w:val="Standardskriftforavsnitt"/>
    <w:rPr>
      <w:color w:val="0033CC"/>
      <w:u w:val="single"/>
    </w:rPr>
  </w:style>
  <w:style w:type="character" w:styleId="Sterk">
    <w:name w:val="Strong"/>
    <w:basedOn w:val="Standardskriftforavsnitt"/>
    <w:qFormat/>
    <w:rPr>
      <w:b/>
      <w:bCs/>
    </w:rPr>
  </w:style>
  <w:style w:type="paragraph" w:styleId="Brdtekst">
    <w:name w:val="Body Text"/>
    <w:basedOn w:val="Normal"/>
    <w:rPr>
      <w:b/>
      <w:bCs/>
    </w:rPr>
  </w:style>
  <w:style w:type="paragraph" w:styleId="Topptekst">
    <w:name w:val="header"/>
    <w:basedOn w:val="Normal"/>
    <w:rsid w:val="00B027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02749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A2021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Desinfeksjon før blodkulturtaking</vt:lpstr>
    </vt:vector>
  </TitlesOfParts>
  <Company>HNT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Desinfeksjon før blodkulturtaking</dc:title>
  <dc:subject/>
  <dc:creator>amehl</dc:creator>
  <cp:keywords/>
  <cp:lastModifiedBy>sys_rpa_robot01_prd</cp:lastModifiedBy>
  <cp:revision>2</cp:revision>
  <cp:lastPrinted>2005-04-21T12:28:00Z</cp:lastPrinted>
  <dcterms:created xsi:type="dcterms:W3CDTF">2021-09-29T12:18:00Z</dcterms:created>
  <dcterms:modified xsi:type="dcterms:W3CDTF">2021-09-29T12:18:00Z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-1691795533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Geir.Kvam@helse-nordtrondelag.no</vt:lpwstr>
  </property>
  <property fmtid="{D5CDD505-2E9C-101B-9397-08002B2CF9AE}" pid="6" name="_AuthorEmailDisplayName">
    <vt:lpwstr>Kvam, Geir</vt:lpwstr>
  </property>
  <property fmtid="{D5CDD505-2E9C-101B-9397-08002B2CF9AE}" pid="7" name="_ReviewingToolsShownOnce">
    <vt:lpwstr/>
  </property>
</Properties>
</file>