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EB" w:rsidRDefault="003835EB" w:rsidP="003835EB">
      <w:pPr>
        <w:rPr>
          <w:rFonts w:ascii="Garamond" w:hAnsi="Garamond"/>
        </w:rPr>
      </w:pPr>
      <w:bookmarkStart w:id="0" w:name="_GoBack"/>
      <w:bookmarkEnd w:id="0"/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7"/>
        <w:gridCol w:w="2153"/>
        <w:gridCol w:w="3299"/>
        <w:gridCol w:w="2641"/>
      </w:tblGrid>
      <w:tr w:rsidR="003835EB" w:rsidTr="006423AF">
        <w:trPr>
          <w:cantSplit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3835EB" w:rsidRDefault="003835EB" w:rsidP="006423AF">
            <w:pPr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  <w:p w:rsidR="003835EB" w:rsidRDefault="003835EB" w:rsidP="006423AF">
            <w:pPr>
              <w:ind w:right="-610"/>
              <w:rPr>
                <w:rFonts w:ascii="Arial" w:hAnsi="Arial" w:cs="Arial"/>
                <w:b/>
                <w:bCs/>
                <w:color w:val="FFFFFF"/>
                <w:sz w:val="2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lang w:val="nb-NO"/>
              </w:rPr>
              <w:t xml:space="preserve">RAPPORT </w:t>
            </w:r>
          </w:p>
          <w:p w:rsidR="003835EB" w:rsidRDefault="003835EB" w:rsidP="006423AF">
            <w:pPr>
              <w:rPr>
                <w:rFonts w:ascii="Garamond" w:hAnsi="Garamond"/>
                <w:lang w:val="nb-NO"/>
              </w:rPr>
            </w:pPr>
          </w:p>
        </w:tc>
      </w:tr>
      <w:tr w:rsidR="003835EB" w:rsidRPr="00B90BF7" w:rsidTr="006423AF">
        <w:trPr>
          <w:trHeight w:val="68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B" w:rsidRDefault="003835EB" w:rsidP="006423AF">
            <w:pPr>
              <w:rPr>
                <w:rFonts w:ascii="Garamond" w:hAnsi="Garamond"/>
                <w:sz w:val="28"/>
                <w:lang w:val="nb-NO"/>
              </w:rPr>
            </w:pPr>
            <w:r>
              <w:rPr>
                <w:rFonts w:ascii="Garamond" w:hAnsi="Garamond"/>
                <w:sz w:val="28"/>
                <w:lang w:val="nb-NO"/>
              </w:rPr>
              <w:t>Besøksdato:</w:t>
            </w:r>
          </w:p>
          <w:p w:rsidR="003835EB" w:rsidRDefault="003835EB" w:rsidP="006423AF">
            <w:pPr>
              <w:pStyle w:val="Overskrift3"/>
            </w:pPr>
          </w:p>
          <w:p w:rsidR="003835EB" w:rsidRPr="00755904" w:rsidRDefault="003835EB" w:rsidP="006423AF">
            <w:pPr>
              <w:rPr>
                <w:b/>
                <w:lang w:val="nb-NO"/>
              </w:rPr>
            </w:pPr>
            <w:r>
              <w:rPr>
                <w:rFonts w:ascii="Garamond" w:hAnsi="Garamond"/>
                <w:b/>
                <w:bCs/>
                <w:sz w:val="28"/>
                <w:lang w:val="nb-NO"/>
              </w:rPr>
              <w:t>12.06.18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B" w:rsidRDefault="003835EB" w:rsidP="006423AF">
            <w:pPr>
              <w:rPr>
                <w:rFonts w:ascii="Garamond" w:hAnsi="Garamond"/>
                <w:sz w:val="28"/>
                <w:lang w:val="nb-NO"/>
              </w:rPr>
            </w:pPr>
            <w:r>
              <w:rPr>
                <w:rFonts w:ascii="Garamond" w:hAnsi="Garamond"/>
                <w:sz w:val="28"/>
                <w:lang w:val="nb-NO"/>
              </w:rPr>
              <w:t>Varighet</w:t>
            </w:r>
          </w:p>
          <w:p w:rsidR="003835EB" w:rsidRDefault="003835EB" w:rsidP="006423AF">
            <w:pPr>
              <w:pStyle w:val="Overskrift3"/>
            </w:pPr>
          </w:p>
          <w:p w:rsidR="003835EB" w:rsidRPr="00755904" w:rsidRDefault="003835EB" w:rsidP="006423AF">
            <w:pPr>
              <w:rPr>
                <w:rFonts w:ascii="Garamond" w:hAnsi="Garamond"/>
                <w:sz w:val="28"/>
                <w:lang w:val="nb-NO"/>
              </w:rPr>
            </w:pPr>
            <w:r w:rsidRPr="00755904">
              <w:rPr>
                <w:rFonts w:ascii="Garamond" w:hAnsi="Garamond"/>
                <w:b/>
                <w:bCs/>
                <w:sz w:val="28"/>
                <w:lang w:val="nb-NO"/>
              </w:rPr>
              <w:t>Kl</w:t>
            </w:r>
            <w:r>
              <w:rPr>
                <w:rFonts w:ascii="Garamond" w:hAnsi="Garamond"/>
                <w:b/>
                <w:bCs/>
                <w:sz w:val="28"/>
                <w:lang w:val="nb-NO"/>
              </w:rPr>
              <w:t>.</w:t>
            </w:r>
            <w:r w:rsidR="00B90BF7">
              <w:rPr>
                <w:rFonts w:ascii="Garamond" w:hAnsi="Garamond"/>
                <w:b/>
                <w:bCs/>
                <w:sz w:val="28"/>
                <w:lang w:val="nb-NO"/>
              </w:rPr>
              <w:t xml:space="preserve"> 09.30 – 13.45</w:t>
            </w:r>
          </w:p>
          <w:p w:rsidR="003835EB" w:rsidRPr="00755904" w:rsidRDefault="003835EB" w:rsidP="006423AF">
            <w:pPr>
              <w:rPr>
                <w:lang w:val="nb-NO"/>
              </w:rPr>
            </w:pPr>
          </w:p>
          <w:p w:rsidR="003835EB" w:rsidRDefault="003835EB" w:rsidP="006423AF">
            <w:pPr>
              <w:pStyle w:val="Overskrift3"/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B" w:rsidRDefault="003835EB" w:rsidP="006423AF">
            <w:pPr>
              <w:rPr>
                <w:rFonts w:ascii="Garamond" w:hAnsi="Garamond"/>
                <w:sz w:val="28"/>
                <w:lang w:val="nb-NO"/>
              </w:rPr>
            </w:pPr>
            <w:r>
              <w:rPr>
                <w:rFonts w:ascii="Garamond" w:hAnsi="Garamond"/>
                <w:sz w:val="28"/>
                <w:lang w:val="nb-NO"/>
              </w:rPr>
              <w:t>Sted:</w:t>
            </w:r>
          </w:p>
          <w:p w:rsidR="003835EB" w:rsidRPr="00EB0BFB" w:rsidRDefault="003835EB" w:rsidP="006423AF">
            <w:pPr>
              <w:pStyle w:val="Overskrift3"/>
            </w:pPr>
          </w:p>
          <w:p w:rsidR="003835EB" w:rsidRPr="00F14C75" w:rsidRDefault="003835EB" w:rsidP="006423AF">
            <w:pPr>
              <w:pStyle w:val="Overskrift3"/>
            </w:pPr>
            <w:r>
              <w:t>Levanger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B" w:rsidRDefault="003835EB" w:rsidP="006423AF">
            <w:pPr>
              <w:rPr>
                <w:rFonts w:ascii="Garamond" w:hAnsi="Garamond"/>
                <w:lang w:val="nb-NO"/>
              </w:rPr>
            </w:pPr>
            <w:r>
              <w:rPr>
                <w:rFonts w:ascii="Garamond" w:hAnsi="Garamond"/>
                <w:lang w:val="nb-NO"/>
              </w:rPr>
              <w:t xml:space="preserve">        </w:t>
            </w:r>
          </w:p>
          <w:p w:rsidR="003835EB" w:rsidRPr="007D497E" w:rsidRDefault="003835EB" w:rsidP="006423AF">
            <w:pPr>
              <w:rPr>
                <w:rFonts w:ascii="Garamond" w:hAnsi="Garamond"/>
                <w:lang w:val="nb-NO"/>
              </w:rPr>
            </w:pPr>
            <w:r>
              <w:rPr>
                <w:rFonts w:ascii="Garamond" w:hAnsi="Garamond"/>
                <w:lang w:val="nb-NO"/>
              </w:rPr>
              <w:t xml:space="preserve">     </w:t>
            </w:r>
          </w:p>
          <w:p w:rsidR="003835EB" w:rsidRDefault="003835EB" w:rsidP="003835EB">
            <w:pPr>
              <w:rPr>
                <w:rFonts w:ascii="Garamond" w:hAnsi="Garamond"/>
                <w:b/>
                <w:bCs/>
                <w:sz w:val="28"/>
                <w:lang w:val="nb-NO"/>
              </w:rPr>
            </w:pPr>
            <w:r>
              <w:rPr>
                <w:rFonts w:ascii="Garamond" w:hAnsi="Garamond"/>
                <w:b/>
                <w:bCs/>
                <w:sz w:val="28"/>
                <w:lang w:val="nb-NO"/>
              </w:rPr>
              <w:t xml:space="preserve">Møte </w:t>
            </w:r>
          </w:p>
        </w:tc>
      </w:tr>
    </w:tbl>
    <w:p w:rsidR="003835EB" w:rsidRDefault="003835EB" w:rsidP="003835EB">
      <w:pPr>
        <w:rPr>
          <w:rFonts w:ascii="Garamond" w:hAnsi="Garamond"/>
          <w:lang w:val="nb-NO"/>
        </w:rPr>
      </w:pPr>
    </w:p>
    <w:p w:rsidR="003835EB" w:rsidRDefault="003835EB" w:rsidP="003835EB">
      <w:pPr>
        <w:rPr>
          <w:rFonts w:ascii="Garamond" w:hAnsi="Garamond"/>
          <w:lang w:val="nb-NO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3835EB" w:rsidRPr="00B90BF7" w:rsidTr="006423AF">
        <w:tc>
          <w:tcPr>
            <w:tcW w:w="1980" w:type="dxa"/>
          </w:tcPr>
          <w:p w:rsidR="003835EB" w:rsidRDefault="003835EB" w:rsidP="006423AF">
            <w:pPr>
              <w:rPr>
                <w:rFonts w:ascii="Garamond" w:hAnsi="Garamond"/>
                <w:b/>
                <w:bCs/>
                <w:lang w:val="nb-NO"/>
              </w:rPr>
            </w:pPr>
          </w:p>
          <w:p w:rsidR="003835EB" w:rsidRDefault="003835EB" w:rsidP="006423AF">
            <w:pPr>
              <w:rPr>
                <w:rFonts w:ascii="Garamond" w:hAnsi="Garamond"/>
                <w:b/>
                <w:bCs/>
                <w:lang w:val="nb-NO"/>
              </w:rPr>
            </w:pPr>
            <w:r>
              <w:rPr>
                <w:rFonts w:ascii="Garamond" w:hAnsi="Garamond"/>
                <w:b/>
                <w:bCs/>
                <w:lang w:val="nb-NO"/>
              </w:rPr>
              <w:t>Sak nr.</w:t>
            </w:r>
          </w:p>
          <w:p w:rsidR="003835EB" w:rsidRDefault="003835EB" w:rsidP="006423AF">
            <w:pPr>
              <w:rPr>
                <w:rFonts w:ascii="Garamond" w:hAnsi="Garamond"/>
                <w:b/>
                <w:bCs/>
                <w:lang w:val="nb-NO"/>
              </w:rPr>
            </w:pPr>
          </w:p>
        </w:tc>
        <w:tc>
          <w:tcPr>
            <w:tcW w:w="7560" w:type="dxa"/>
          </w:tcPr>
          <w:p w:rsidR="003835EB" w:rsidRDefault="003835EB" w:rsidP="006423AF">
            <w:pPr>
              <w:rPr>
                <w:rFonts w:ascii="Garamond" w:hAnsi="Garamond"/>
                <w:b/>
                <w:bCs/>
                <w:lang w:val="nb-NO"/>
              </w:rPr>
            </w:pPr>
          </w:p>
          <w:p w:rsidR="003835EB" w:rsidRDefault="003835EB" w:rsidP="006423AF">
            <w:pPr>
              <w:rPr>
                <w:rFonts w:ascii="Garamond" w:hAnsi="Garamond"/>
                <w:b/>
                <w:bCs/>
                <w:lang w:val="nb-NO"/>
              </w:rPr>
            </w:pPr>
            <w:r>
              <w:rPr>
                <w:rFonts w:ascii="Garamond" w:hAnsi="Garamond"/>
                <w:b/>
                <w:bCs/>
                <w:lang w:val="nb-NO"/>
              </w:rPr>
              <w:t xml:space="preserve"> Emne </w:t>
            </w:r>
          </w:p>
        </w:tc>
      </w:tr>
      <w:tr w:rsidR="003835EB" w:rsidRPr="008F3575" w:rsidTr="006423AF">
        <w:trPr>
          <w:trHeight w:val="792"/>
        </w:trPr>
        <w:tc>
          <w:tcPr>
            <w:tcW w:w="1980" w:type="dxa"/>
          </w:tcPr>
          <w:p w:rsidR="003835EB" w:rsidRDefault="003835EB" w:rsidP="006423AF">
            <w:pPr>
              <w:rPr>
                <w:lang w:val="nb-NO"/>
              </w:rPr>
            </w:pPr>
          </w:p>
          <w:p w:rsidR="003835EB" w:rsidRPr="00B50880" w:rsidRDefault="003835EB" w:rsidP="006423AF">
            <w:pPr>
              <w:rPr>
                <w:b/>
                <w:lang w:val="nb-NO"/>
              </w:rPr>
            </w:pPr>
            <w:r w:rsidRPr="00B50880">
              <w:rPr>
                <w:b/>
                <w:lang w:val="nb-NO"/>
              </w:rPr>
              <w:t>1.</w:t>
            </w:r>
          </w:p>
          <w:p w:rsidR="003835EB" w:rsidRDefault="003835EB" w:rsidP="006423AF">
            <w:pPr>
              <w:rPr>
                <w:lang w:val="nb-NO"/>
              </w:rPr>
            </w:pPr>
          </w:p>
        </w:tc>
        <w:tc>
          <w:tcPr>
            <w:tcW w:w="7560" w:type="dxa"/>
          </w:tcPr>
          <w:p w:rsidR="003835EB" w:rsidRDefault="003835EB" w:rsidP="006423AF">
            <w:pPr>
              <w:rPr>
                <w:lang w:val="nb-NO"/>
              </w:rPr>
            </w:pPr>
          </w:p>
          <w:p w:rsidR="00B8768D" w:rsidRDefault="007D3C5C" w:rsidP="006423AF">
            <w:pPr>
              <w:rPr>
                <w:lang w:val="nb-NO"/>
              </w:rPr>
            </w:pPr>
            <w:r>
              <w:rPr>
                <w:lang w:val="nb-NO"/>
              </w:rPr>
              <w:t>Kvalitetskontroller gjennomgås, Equalis og nasjonale</w:t>
            </w:r>
            <w:r w:rsidR="00920ACE">
              <w:rPr>
                <w:lang w:val="nb-NO"/>
              </w:rPr>
              <w:t xml:space="preserve"> </w:t>
            </w:r>
            <w:r>
              <w:rPr>
                <w:lang w:val="nb-NO"/>
              </w:rPr>
              <w:t>kontroller har blodbanken ikke hatt noen avvik</w:t>
            </w:r>
            <w:r w:rsidR="00F93D9A">
              <w:rPr>
                <w:lang w:val="nb-NO"/>
              </w:rPr>
              <w:t xml:space="preserve"> kritisk</w:t>
            </w:r>
            <w:r>
              <w:rPr>
                <w:lang w:val="nb-NO"/>
              </w:rPr>
              <w:t xml:space="preserve"> </w:t>
            </w:r>
            <w:r w:rsidR="00920ACE">
              <w:rPr>
                <w:lang w:val="nb-NO"/>
              </w:rPr>
              <w:t xml:space="preserve">betydning. </w:t>
            </w:r>
          </w:p>
          <w:p w:rsidR="00920ACE" w:rsidRDefault="00920ACE" w:rsidP="006423AF">
            <w:pPr>
              <w:rPr>
                <w:lang w:val="nb-NO"/>
              </w:rPr>
            </w:pPr>
          </w:p>
          <w:p w:rsidR="00920ACE" w:rsidRDefault="00920ACE" w:rsidP="006423AF">
            <w:pPr>
              <w:rPr>
                <w:lang w:val="nb-NO"/>
              </w:rPr>
            </w:pPr>
            <w:r>
              <w:rPr>
                <w:lang w:val="nb-NO"/>
              </w:rPr>
              <w:t>Ved interne kontroller, kontrolleres screeningsceller</w:t>
            </w:r>
            <w:r w:rsidR="0028099E">
              <w:rPr>
                <w:lang w:val="nb-NO"/>
              </w:rPr>
              <w:t xml:space="preserve"> hver dag. </w:t>
            </w:r>
          </w:p>
          <w:p w:rsidR="00181B0C" w:rsidRDefault="00322DDF" w:rsidP="006423AF">
            <w:pPr>
              <w:rPr>
                <w:lang w:val="nb-NO"/>
              </w:rPr>
            </w:pPr>
            <w:r>
              <w:rPr>
                <w:lang w:val="nb-NO"/>
              </w:rPr>
              <w:t>I tille</w:t>
            </w:r>
            <w:r w:rsidR="00BB1B77">
              <w:rPr>
                <w:lang w:val="nb-NO"/>
              </w:rPr>
              <w:t xml:space="preserve">gg </w:t>
            </w:r>
            <w:r>
              <w:rPr>
                <w:lang w:val="nb-NO"/>
              </w:rPr>
              <w:t xml:space="preserve">utførers mottakskontroll når cellene mottas. </w:t>
            </w:r>
            <w:r w:rsidR="00BB1B77">
              <w:rPr>
                <w:lang w:val="nb-NO"/>
              </w:rPr>
              <w:t xml:space="preserve">Maskinen er programmert slik at den stopper opp automatisk hvis cellene er utgått på dato. </w:t>
            </w:r>
          </w:p>
          <w:p w:rsidR="00B8768D" w:rsidRDefault="00B8768D" w:rsidP="006423AF">
            <w:pPr>
              <w:rPr>
                <w:lang w:val="nb-NO"/>
              </w:rPr>
            </w:pPr>
          </w:p>
          <w:p w:rsidR="00B8768D" w:rsidRPr="00062513" w:rsidRDefault="00B8768D" w:rsidP="006423AF">
            <w:pPr>
              <w:rPr>
                <w:lang w:val="nb-NO"/>
              </w:rPr>
            </w:pPr>
          </w:p>
        </w:tc>
      </w:tr>
      <w:tr w:rsidR="003835EB" w:rsidRPr="00B90BF7" w:rsidTr="006423AF">
        <w:trPr>
          <w:trHeight w:val="925"/>
        </w:trPr>
        <w:tc>
          <w:tcPr>
            <w:tcW w:w="1980" w:type="dxa"/>
          </w:tcPr>
          <w:p w:rsidR="003835EB" w:rsidRDefault="003835EB" w:rsidP="006423AF">
            <w:pPr>
              <w:rPr>
                <w:b/>
                <w:lang w:val="nb-NO"/>
              </w:rPr>
            </w:pPr>
          </w:p>
          <w:p w:rsidR="003835EB" w:rsidRDefault="003835EB" w:rsidP="006423AF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2.</w:t>
            </w:r>
          </w:p>
        </w:tc>
        <w:tc>
          <w:tcPr>
            <w:tcW w:w="7560" w:type="dxa"/>
          </w:tcPr>
          <w:p w:rsidR="003835EB" w:rsidRDefault="003835EB" w:rsidP="006423AF">
            <w:pPr>
              <w:jc w:val="both"/>
              <w:rPr>
                <w:b/>
                <w:lang w:val="nb-NO"/>
              </w:rPr>
            </w:pPr>
          </w:p>
          <w:p w:rsidR="003835EB" w:rsidRDefault="00562CFF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Kvalitetskontroll blodkomponenter</w:t>
            </w:r>
            <w:r w:rsidR="009B1C1E">
              <w:rPr>
                <w:lang w:val="nb-NO"/>
              </w:rPr>
              <w:t>.</w:t>
            </w:r>
          </w:p>
          <w:p w:rsidR="009B1C1E" w:rsidRDefault="009B1C1E" w:rsidP="00B8768D">
            <w:pPr>
              <w:jc w:val="both"/>
              <w:rPr>
                <w:lang w:val="nb-NO"/>
              </w:rPr>
            </w:pPr>
          </w:p>
          <w:p w:rsidR="00EF76B2" w:rsidRDefault="009B1C1E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SAG: Nivå av leukocytter i produktet</w:t>
            </w:r>
            <w:r w:rsidR="00EC4311">
              <w:rPr>
                <w:lang w:val="nb-NO"/>
              </w:rPr>
              <w:t xml:space="preserve"> er </w:t>
            </w:r>
            <w:r w:rsidR="00B95505">
              <w:rPr>
                <w:lang w:val="nb-NO"/>
              </w:rPr>
              <w:t>grenseverdi</w:t>
            </w:r>
            <w:r w:rsidR="00EC4311">
              <w:rPr>
                <w:lang w:val="nb-NO"/>
              </w:rPr>
              <w:t xml:space="preserve"> satt til</w:t>
            </w:r>
            <w:r w:rsidR="00B95505">
              <w:rPr>
                <w:lang w:val="nb-NO"/>
              </w:rPr>
              <w:t xml:space="preserve"> 0,8 * 10</w:t>
            </w:r>
            <w:r w:rsidR="00F93D9A">
              <w:rPr>
                <w:lang w:val="nb-NO"/>
              </w:rPr>
              <w:t xml:space="preserve"> </w:t>
            </w:r>
            <w:r w:rsidR="00B95505" w:rsidRPr="00B95505">
              <w:rPr>
                <w:sz w:val="18"/>
                <w:szCs w:val="18"/>
                <w:lang w:val="nb-NO"/>
              </w:rPr>
              <w:t>6</w:t>
            </w:r>
            <w:r w:rsidR="00A52F23">
              <w:rPr>
                <w:sz w:val="18"/>
                <w:szCs w:val="18"/>
                <w:lang w:val="nb-NO"/>
              </w:rPr>
              <w:t>.</w:t>
            </w:r>
            <w:r w:rsidR="00306DED">
              <w:rPr>
                <w:sz w:val="18"/>
                <w:szCs w:val="18"/>
                <w:lang w:val="nb-NO"/>
              </w:rPr>
              <w:t xml:space="preserve"> </w:t>
            </w:r>
            <w:r w:rsidR="00A52F23">
              <w:rPr>
                <w:sz w:val="18"/>
                <w:szCs w:val="18"/>
                <w:lang w:val="nb-NO"/>
              </w:rPr>
              <w:t xml:space="preserve"> </w:t>
            </w:r>
            <w:r w:rsidR="00A52F23">
              <w:rPr>
                <w:lang w:val="nb-NO"/>
              </w:rPr>
              <w:t>Det er satt krav om at 90 % av produktene skal være innenfor denne grenseverdien. Blodbanken kontrollerer ca</w:t>
            </w:r>
            <w:r w:rsidR="00905E23">
              <w:rPr>
                <w:lang w:val="nb-NO"/>
              </w:rPr>
              <w:t>.</w:t>
            </w:r>
            <w:r w:rsidR="00A52F23">
              <w:rPr>
                <w:lang w:val="nb-NO"/>
              </w:rPr>
              <w:t xml:space="preserve"> 9-10 produkter per måned. </w:t>
            </w:r>
            <w:r>
              <w:rPr>
                <w:lang w:val="nb-NO"/>
              </w:rPr>
              <w:t xml:space="preserve"> </w:t>
            </w:r>
            <w:r w:rsidR="00DD25A1">
              <w:rPr>
                <w:lang w:val="nb-NO"/>
              </w:rPr>
              <w:t>Hvis leukocytt nivået er over grenseverdien, gjøres tre påfølgende kontroller</w:t>
            </w:r>
            <w:r w:rsidR="00FC3D5A">
              <w:rPr>
                <w:lang w:val="nb-NO"/>
              </w:rPr>
              <w:t xml:space="preserve">. </w:t>
            </w:r>
            <w:r w:rsidR="0060217D">
              <w:rPr>
                <w:lang w:val="nb-NO"/>
              </w:rPr>
              <w:t>Kon</w:t>
            </w:r>
            <w:r w:rsidR="00FC3D5A">
              <w:rPr>
                <w:lang w:val="nb-NO"/>
              </w:rPr>
              <w:t xml:space="preserve">trollene har avdekket høyt andel hvite i en del av produktene, men de har klart å holde seg innenfor </w:t>
            </w:r>
            <w:r w:rsidR="00EF76B2">
              <w:rPr>
                <w:lang w:val="nb-NO"/>
              </w:rPr>
              <w:t>kravet på 90</w:t>
            </w:r>
            <w:r w:rsidR="00306DED">
              <w:rPr>
                <w:lang w:val="nb-NO"/>
              </w:rPr>
              <w:t xml:space="preserve"> </w:t>
            </w:r>
            <w:r w:rsidR="00EF76B2">
              <w:rPr>
                <w:lang w:val="nb-NO"/>
              </w:rPr>
              <w:t xml:space="preserve">%. Produkter hvor det avdekkes for høyt innhold med leukocytter kasseres. </w:t>
            </w:r>
            <w:r w:rsidR="00EF2FD4">
              <w:rPr>
                <w:lang w:val="nb-NO"/>
              </w:rPr>
              <w:t xml:space="preserve">Blodbanken vil ta i bruk forbedrede filtre i løpet av 2018, men dato for dette er ikke klart enda. </w:t>
            </w:r>
          </w:p>
          <w:p w:rsidR="00EF2FD4" w:rsidRDefault="00EF2FD4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Det er spørsmål om plasmaet fra tappi</w:t>
            </w:r>
            <w:r w:rsidR="00594E9D">
              <w:rPr>
                <w:lang w:val="nb-NO"/>
              </w:rPr>
              <w:t>nger med for høy andel leukocytter også skal kasseres</w:t>
            </w:r>
            <w:r w:rsidR="00CD44EC">
              <w:rPr>
                <w:lang w:val="nb-NO"/>
              </w:rPr>
              <w:t>?</w:t>
            </w:r>
          </w:p>
          <w:p w:rsidR="00F93D9A" w:rsidRDefault="00F93D9A" w:rsidP="00B8768D">
            <w:pPr>
              <w:jc w:val="both"/>
              <w:rPr>
                <w:lang w:val="nb-NO"/>
              </w:rPr>
            </w:pPr>
          </w:p>
          <w:p w:rsidR="00F93D9A" w:rsidRDefault="00F93D9A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He</w:t>
            </w:r>
            <w:r w:rsidR="00CD5ABD">
              <w:rPr>
                <w:lang w:val="nb-NO"/>
              </w:rPr>
              <w:t>r vises det til avtale vedrørende kvalitetssikring</w:t>
            </w:r>
            <w:r>
              <w:rPr>
                <w:lang w:val="nb-NO"/>
              </w:rPr>
              <w:t xml:space="preserve"> med octapharma som setter krav i forhold til nivå av leukocytter i plasmaet. </w:t>
            </w:r>
          </w:p>
          <w:p w:rsidR="00810B7F" w:rsidRDefault="00810B7F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Det brukes fullblodsfilter og plasmaet blir </w:t>
            </w:r>
            <w:r w:rsidR="007D522A">
              <w:rPr>
                <w:lang w:val="nb-NO"/>
              </w:rPr>
              <w:t>sentrifugert. Er hvite tallet</w:t>
            </w:r>
            <w:r w:rsidR="00E3244C">
              <w:rPr>
                <w:lang w:val="nb-NO"/>
              </w:rPr>
              <w:t xml:space="preserve"> i plasmaet </w:t>
            </w:r>
            <w:r w:rsidR="007D522A">
              <w:rPr>
                <w:lang w:val="nb-NO"/>
              </w:rPr>
              <w:t xml:space="preserve">kontrollert </w:t>
            </w:r>
            <w:r w:rsidR="00E3244C">
              <w:rPr>
                <w:lang w:val="nb-NO"/>
              </w:rPr>
              <w:t>etter dette?</w:t>
            </w:r>
          </w:p>
          <w:p w:rsidR="00CD44EC" w:rsidRPr="0054457C" w:rsidRDefault="0054457C" w:rsidP="00B8768D">
            <w:pPr>
              <w:jc w:val="both"/>
              <w:rPr>
                <w:color w:val="00B050"/>
                <w:lang w:val="nb-NO"/>
              </w:rPr>
            </w:pPr>
            <w:r>
              <w:rPr>
                <w:color w:val="00B050"/>
                <w:lang w:val="nb-NO"/>
              </w:rPr>
              <w:t>Vi har ikke kontrollert LPK i plasma på de aktuelle enheten</w:t>
            </w:r>
            <w:r w:rsidR="00E20A0B">
              <w:rPr>
                <w:color w:val="00B050"/>
                <w:lang w:val="nb-NO"/>
              </w:rPr>
              <w:t>e</w:t>
            </w:r>
            <w:r>
              <w:rPr>
                <w:color w:val="00B050"/>
                <w:lang w:val="nb-NO"/>
              </w:rPr>
              <w:t>, der LPK i SAG er forhøyet. Dette svaret får vi først etter at plasma er frosset.</w:t>
            </w:r>
          </w:p>
          <w:p w:rsidR="00F93D9A" w:rsidRDefault="00F93D9A" w:rsidP="00B8768D">
            <w:pPr>
              <w:jc w:val="both"/>
              <w:rPr>
                <w:lang w:val="nb-NO"/>
              </w:rPr>
            </w:pPr>
          </w:p>
          <w:p w:rsidR="002B0FE6" w:rsidRDefault="002B0FE6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Trombocytter: </w:t>
            </w:r>
          </w:p>
          <w:p w:rsidR="005C0199" w:rsidRDefault="002B0FE6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Vekt </w:t>
            </w:r>
            <w:r w:rsidR="00AE0AF3">
              <w:rPr>
                <w:lang w:val="nb-NO"/>
              </w:rPr>
              <w:t>pluss telle-t</w:t>
            </w:r>
            <w:r>
              <w:rPr>
                <w:lang w:val="nb-NO"/>
              </w:rPr>
              <w:t xml:space="preserve">all på </w:t>
            </w:r>
            <w:r w:rsidR="00AE0AF3">
              <w:rPr>
                <w:lang w:val="nb-NO"/>
              </w:rPr>
              <w:t>trombocyttkonsentrat</w:t>
            </w:r>
            <w:r>
              <w:rPr>
                <w:lang w:val="nb-NO"/>
              </w:rPr>
              <w:t xml:space="preserve"> kontrolleres en gang per uke</w:t>
            </w:r>
            <w:r w:rsidR="00AE0AF3">
              <w:rPr>
                <w:lang w:val="nb-NO"/>
              </w:rPr>
              <w:t>. L</w:t>
            </w:r>
            <w:r w:rsidR="00D1485C">
              <w:rPr>
                <w:lang w:val="nb-NO"/>
              </w:rPr>
              <w:t>eukocytter en gang annen hver</w:t>
            </w:r>
            <w:r w:rsidR="00DD7133">
              <w:rPr>
                <w:lang w:val="nb-NO"/>
              </w:rPr>
              <w:t xml:space="preserve"> uke. </w:t>
            </w:r>
          </w:p>
          <w:p w:rsidR="005C0199" w:rsidRDefault="005C0199" w:rsidP="00B8768D">
            <w:pPr>
              <w:jc w:val="both"/>
              <w:rPr>
                <w:lang w:val="nb-NO"/>
              </w:rPr>
            </w:pPr>
          </w:p>
          <w:p w:rsidR="000E00F6" w:rsidRDefault="005C0199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Trombocyttkonsentrat kan godkjennes ned til 180 000, men da får rekvirenten beskjed om </w:t>
            </w:r>
            <w:r w:rsidR="000E00F6">
              <w:rPr>
                <w:lang w:val="nb-NO"/>
              </w:rPr>
              <w:t>at produktet inneholder lavere trombocy</w:t>
            </w:r>
            <w:r w:rsidR="00E3244C">
              <w:rPr>
                <w:lang w:val="nb-NO"/>
              </w:rPr>
              <w:t>t</w:t>
            </w:r>
            <w:r w:rsidR="000E00F6">
              <w:rPr>
                <w:lang w:val="nb-NO"/>
              </w:rPr>
              <w:t>t</w:t>
            </w:r>
            <w:r w:rsidR="00E3244C">
              <w:rPr>
                <w:lang w:val="nb-NO"/>
              </w:rPr>
              <w:t>-</w:t>
            </w:r>
            <w:r w:rsidR="000E00F6">
              <w:rPr>
                <w:lang w:val="nb-NO"/>
              </w:rPr>
              <w:t>tall.</w:t>
            </w:r>
          </w:p>
          <w:p w:rsidR="00F93D9A" w:rsidRDefault="00F93D9A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Det kan vurderes om det er nødvendig at rekvirenten varsles om dette. Det er et krav om at 75 % av de produserte enhetene ligger innenfor kravet.</w:t>
            </w:r>
            <w:r w:rsidR="00DB7042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Så lenge man fyller dette kravet er produktet innenfor kravspesifikasjonene. </w:t>
            </w:r>
          </w:p>
          <w:p w:rsidR="000E00F6" w:rsidRDefault="000E00F6" w:rsidP="00B8768D">
            <w:pPr>
              <w:jc w:val="both"/>
              <w:rPr>
                <w:lang w:val="nb-NO"/>
              </w:rPr>
            </w:pPr>
          </w:p>
          <w:p w:rsidR="00267B72" w:rsidRDefault="000E00F6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I produksjonsrommet for trombocytter sliter blodbanken med å klare å holde lav nok temperatur, da det er et lite lokale med flere instrumenter som produserer varme. </w:t>
            </w:r>
            <w:r w:rsidR="00D64B96">
              <w:rPr>
                <w:lang w:val="nb-NO"/>
              </w:rPr>
              <w:t xml:space="preserve">Grensen for alarm på forhøyet temperatur er satt til 24 °C. </w:t>
            </w:r>
            <w:r w:rsidR="00FD6523">
              <w:rPr>
                <w:lang w:val="nb-NO"/>
              </w:rPr>
              <w:t>Det gjøres avlesning minst en gang per dag det er produksjon. Temperaturen kan ofte komme over 24 °C, men har aldri vært målt høyere enn 25 °C.</w:t>
            </w:r>
            <w:r w:rsidR="00137D8D">
              <w:rPr>
                <w:lang w:val="nb-NO"/>
              </w:rPr>
              <w:t xml:space="preserve"> På produksjonsrommet ligger trombocyttene aldri lenger en maks en time før de flyttes over i skap med vippe. </w:t>
            </w:r>
            <w:r w:rsidR="002F1E7B">
              <w:rPr>
                <w:lang w:val="nb-NO"/>
              </w:rPr>
              <w:t>Det er blitt gjort utredning m.t.p. mulige forbedringer for mer stabil temperatur i produksjonslokalet, men kapasiteten for innstallering av</w:t>
            </w:r>
            <w:r w:rsidR="0015577C">
              <w:rPr>
                <w:lang w:val="nb-NO"/>
              </w:rPr>
              <w:t xml:space="preserve"> aircondition er sprengt, slik at dette er ikke mulig. </w:t>
            </w:r>
          </w:p>
          <w:p w:rsidR="00267B72" w:rsidRDefault="00267B72" w:rsidP="00B8768D">
            <w:pPr>
              <w:jc w:val="both"/>
              <w:rPr>
                <w:lang w:val="nb-NO"/>
              </w:rPr>
            </w:pPr>
          </w:p>
          <w:p w:rsidR="002B0FE6" w:rsidRDefault="00267B72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Det aksepteres at temperatur grense for utløsing av alarm kan flyttes til 25 °C</w:t>
            </w:r>
            <w:r w:rsidR="00A51D7A">
              <w:rPr>
                <w:lang w:val="nb-NO"/>
              </w:rPr>
              <w:t>, da det er</w:t>
            </w:r>
            <w:r w:rsidR="002C14D0">
              <w:rPr>
                <w:lang w:val="nb-NO"/>
              </w:rPr>
              <w:t xml:space="preserve"> begrenset tidsrom produktet er i dette lokalet og det vurderes ikke å ha noen innvirkning på kvaliteten på det ferdige produktet. </w:t>
            </w:r>
            <w:r w:rsidR="00A51D7A">
              <w:rPr>
                <w:lang w:val="nb-NO"/>
              </w:rPr>
              <w:t>Det er heller ikke mulig å gjøre noen tiltak for å sikre mer stabil temperatur</w:t>
            </w:r>
            <w:r w:rsidR="00F608C9">
              <w:rPr>
                <w:lang w:val="nb-NO"/>
              </w:rPr>
              <w:t xml:space="preserve">. Det er aldri blitt gjort målinger over 25 °C. </w:t>
            </w:r>
          </w:p>
          <w:p w:rsidR="009B1C1E" w:rsidRDefault="0060217D" w:rsidP="00B8768D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  <w:p w:rsidR="00B8768D" w:rsidRPr="00F7597C" w:rsidRDefault="00B8768D" w:rsidP="00B8768D">
            <w:pPr>
              <w:jc w:val="both"/>
              <w:rPr>
                <w:lang w:val="nb-NO"/>
              </w:rPr>
            </w:pPr>
          </w:p>
        </w:tc>
      </w:tr>
      <w:tr w:rsidR="003835EB" w:rsidRPr="008F3575" w:rsidTr="006423AF">
        <w:trPr>
          <w:trHeight w:val="719"/>
        </w:trPr>
        <w:tc>
          <w:tcPr>
            <w:tcW w:w="1980" w:type="dxa"/>
          </w:tcPr>
          <w:p w:rsidR="003835EB" w:rsidRDefault="003835EB" w:rsidP="006423AF">
            <w:pPr>
              <w:rPr>
                <w:b/>
                <w:bCs/>
                <w:lang w:val="nb-NO"/>
              </w:rPr>
            </w:pPr>
          </w:p>
          <w:p w:rsidR="003835EB" w:rsidRDefault="003835EB" w:rsidP="006423AF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3.</w:t>
            </w:r>
          </w:p>
        </w:tc>
        <w:tc>
          <w:tcPr>
            <w:tcW w:w="7560" w:type="dxa"/>
          </w:tcPr>
          <w:p w:rsidR="00B8768D" w:rsidRDefault="005F648F" w:rsidP="00B8768D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Det er spørsmål om hvor lenge det må gå </w:t>
            </w:r>
            <w:r w:rsidR="00A83F1C">
              <w:t xml:space="preserve">før de kan tappe plasma etter at en giver har gitt trombocytter? Og etter tapping av 2 SAG. </w:t>
            </w:r>
          </w:p>
          <w:p w:rsidR="00A83F1C" w:rsidRDefault="00A83F1C" w:rsidP="00B8768D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83F1C" w:rsidRDefault="00425881" w:rsidP="00B8768D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Etter tapping av trombocytter bør det gå 14 dager. </w:t>
            </w:r>
          </w:p>
          <w:p w:rsidR="00425881" w:rsidRDefault="00425881" w:rsidP="00B8768D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425881" w:rsidRDefault="00425881" w:rsidP="00B8768D">
            <w:pPr>
              <w:pStyle w:val="Topptekst"/>
              <w:tabs>
                <w:tab w:val="clear" w:pos="4536"/>
                <w:tab w:val="clear" w:pos="9072"/>
              </w:tabs>
            </w:pPr>
            <w:r>
              <w:t>Det er en potensiell risiko for at man ikke får tilbakeført erytrocytter etter</w:t>
            </w:r>
            <w:r w:rsidR="004A753A">
              <w:t xml:space="preserve"> plasmaferese. For å sikre giveren bør man derfor la det gå minst 3 måneder etter tapping av 2 SAG før man ev. gjør plasmaferese.  </w:t>
            </w:r>
          </w:p>
          <w:p w:rsidR="009D122D" w:rsidRDefault="009D122D" w:rsidP="00B8768D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9D122D" w:rsidRDefault="009D122D" w:rsidP="00B8768D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Hb kontrolleres alltid før tapping hvis giveren har ligget i nærheten av nedre grenseverdi. </w:t>
            </w:r>
          </w:p>
          <w:p w:rsidR="00B8768D" w:rsidRDefault="00B8768D" w:rsidP="00B8768D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B8768D" w:rsidRDefault="00B8768D" w:rsidP="00B8768D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B8768D" w:rsidRPr="00062513" w:rsidRDefault="00B8768D" w:rsidP="00B8768D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3835EB" w:rsidRPr="008F3575" w:rsidTr="006423AF">
        <w:trPr>
          <w:trHeight w:val="719"/>
        </w:trPr>
        <w:tc>
          <w:tcPr>
            <w:tcW w:w="1980" w:type="dxa"/>
          </w:tcPr>
          <w:p w:rsidR="003835EB" w:rsidRDefault="003835EB" w:rsidP="006423AF">
            <w:pPr>
              <w:rPr>
                <w:b/>
                <w:bCs/>
                <w:lang w:val="nb-NO"/>
              </w:rPr>
            </w:pPr>
          </w:p>
          <w:p w:rsidR="003835EB" w:rsidRDefault="003835EB" w:rsidP="006423AF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5.</w:t>
            </w:r>
          </w:p>
        </w:tc>
        <w:tc>
          <w:tcPr>
            <w:tcW w:w="7560" w:type="dxa"/>
          </w:tcPr>
          <w:p w:rsidR="003835EB" w:rsidRDefault="003835EB" w:rsidP="006423AF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</w:p>
          <w:p w:rsidR="003835EB" w:rsidRPr="00271A00" w:rsidRDefault="008E2053" w:rsidP="00B8768D">
            <w:pPr>
              <w:pStyle w:val="Topptekst"/>
              <w:tabs>
                <w:tab w:val="clear" w:pos="4536"/>
                <w:tab w:val="clear" w:pos="9072"/>
              </w:tabs>
              <w:rPr>
                <w:bCs/>
                <w:color w:val="00B050"/>
              </w:rPr>
            </w:pPr>
            <w:r>
              <w:rPr>
                <w:bCs/>
              </w:rPr>
              <w:t>Validering IH-500 blodtypemaskin</w:t>
            </w:r>
            <w:r w:rsidR="00306DED">
              <w:rPr>
                <w:bCs/>
              </w:rPr>
              <w:t xml:space="preserve"> gyldig fra 29.05.18</w:t>
            </w:r>
            <w:r>
              <w:rPr>
                <w:bCs/>
              </w:rPr>
              <w:t xml:space="preserve">. </w:t>
            </w:r>
            <w:r w:rsidR="00271A00" w:rsidRPr="00271A00">
              <w:rPr>
                <w:bCs/>
                <w:color w:val="00B050"/>
              </w:rPr>
              <w:t xml:space="preserve">Maskina  ble satt i </w:t>
            </w:r>
            <w:r w:rsidR="00271A00">
              <w:rPr>
                <w:bCs/>
                <w:color w:val="00B050"/>
              </w:rPr>
              <w:t xml:space="preserve">daglig </w:t>
            </w:r>
            <w:r w:rsidR="00271A00" w:rsidRPr="00271A00">
              <w:rPr>
                <w:bCs/>
                <w:color w:val="00B050"/>
              </w:rPr>
              <w:t>drift</w:t>
            </w:r>
            <w:r w:rsidR="00271A00">
              <w:rPr>
                <w:bCs/>
                <w:color w:val="00B050"/>
              </w:rPr>
              <w:t xml:space="preserve"> 25.10.17. Da var den første valideringen godkjent. Validering har blitt </w:t>
            </w:r>
            <w:r w:rsidR="00F15894">
              <w:rPr>
                <w:bCs/>
                <w:color w:val="00B050"/>
              </w:rPr>
              <w:t>revidert etter hvert som nye analyser har blitt ferdig validert. Siste validering er identifisering av antistoff. Denne v</w:t>
            </w:r>
            <w:r w:rsidR="00D66CD3">
              <w:rPr>
                <w:bCs/>
                <w:color w:val="00B050"/>
              </w:rPr>
              <w:t>ersjonen er gyldig fra 29.05.18</w:t>
            </w:r>
          </w:p>
          <w:p w:rsidR="007C5D58" w:rsidRDefault="007C5D58" w:rsidP="00B8768D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Det beskrives at de har hatt mye trøbbel med denne. Det er av firmaet bestemt at hele gripearma som flytter gel</w:t>
            </w:r>
            <w:r w:rsidR="00DB7042">
              <w:rPr>
                <w:bCs/>
              </w:rPr>
              <w:t>-</w:t>
            </w:r>
            <w:r>
              <w:rPr>
                <w:bCs/>
              </w:rPr>
              <w:t xml:space="preserve">kortene skal skiftes ut. </w:t>
            </w:r>
          </w:p>
          <w:p w:rsidR="00E10407" w:rsidRDefault="00E10407" w:rsidP="00B8768D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</w:p>
          <w:p w:rsidR="00E10407" w:rsidRDefault="00E10407" w:rsidP="00B8768D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 xml:space="preserve">Levanger sykehus følger samme mal som St Olavs på identifisering. Levanger er akkreditert </w:t>
            </w:r>
            <w:r w:rsidR="00A363ED">
              <w:rPr>
                <w:bCs/>
              </w:rPr>
              <w:t xml:space="preserve">og helsetilsynet fant ingen avvik under tilsyn utført </w:t>
            </w:r>
            <w:r w:rsidR="00A363ED">
              <w:rPr>
                <w:bCs/>
              </w:rPr>
              <w:lastRenderedPageBreak/>
              <w:t>17.04.18.</w:t>
            </w:r>
          </w:p>
          <w:p w:rsidR="00B8768D" w:rsidRDefault="00B8768D" w:rsidP="00B8768D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</w:p>
          <w:p w:rsidR="00B8768D" w:rsidRDefault="00B8768D" w:rsidP="00B8768D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</w:p>
          <w:p w:rsidR="00B8768D" w:rsidRPr="00AF591A" w:rsidRDefault="00B8768D" w:rsidP="00B8768D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3835EB" w:rsidRPr="00905E23" w:rsidTr="006423AF">
        <w:trPr>
          <w:trHeight w:val="719"/>
        </w:trPr>
        <w:tc>
          <w:tcPr>
            <w:tcW w:w="1980" w:type="dxa"/>
          </w:tcPr>
          <w:p w:rsidR="003835EB" w:rsidRDefault="003835EB" w:rsidP="006423AF">
            <w:pPr>
              <w:rPr>
                <w:b/>
                <w:bCs/>
                <w:lang w:val="nb-NO"/>
              </w:rPr>
            </w:pPr>
          </w:p>
          <w:p w:rsidR="003835EB" w:rsidRDefault="003835EB" w:rsidP="006423AF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6.</w:t>
            </w:r>
          </w:p>
        </w:tc>
        <w:tc>
          <w:tcPr>
            <w:tcW w:w="7560" w:type="dxa"/>
          </w:tcPr>
          <w:p w:rsidR="003835EB" w:rsidRDefault="003835EB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3835EB" w:rsidRDefault="00086818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Går igjennom </w:t>
            </w:r>
            <w:r w:rsidR="00AC5559">
              <w:t xml:space="preserve">nylig gjennomført katastrofeøvelse. Det var 20 hardt skadde personer. Alle var kvinner i fertil alder. Alle var RhD+. Det ble bestilt 6 enheter blod på alle pasientene. </w:t>
            </w:r>
            <w:r w:rsidR="002C1A0C">
              <w:t xml:space="preserve">Erfaring fra øvelsen var at det tok lang tid før kontrolltyping ble klar. </w:t>
            </w:r>
          </w:p>
          <w:p w:rsidR="002C1A0C" w:rsidRDefault="002C1A0C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2C1A0C" w:rsidRDefault="002C1A0C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>Det skal være en debrifing og diskusjon av øvelsen med alle in</w:t>
            </w:r>
            <w:r w:rsidR="00656495">
              <w:t>volverte</w:t>
            </w:r>
            <w:r>
              <w:t xml:space="preserve">. </w:t>
            </w:r>
          </w:p>
          <w:p w:rsidR="00DA3256" w:rsidRDefault="00DA3256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DA3256" w:rsidRDefault="00DA3256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>Forslag om at to personer kan ta prøver i mottak som rekvireres på ulike nummer</w:t>
            </w:r>
            <w:r w:rsidR="00050B8F">
              <w:t>, slik at man ikke bruker opp O- lageret</w:t>
            </w:r>
            <w:r w:rsidR="007B1818">
              <w:t xml:space="preserve"> på det som ikke trenger O- blod. </w:t>
            </w:r>
          </w:p>
          <w:p w:rsidR="00F93D9A" w:rsidRDefault="00F93D9A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F93D9A" w:rsidRDefault="00F93D9A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På RhD holder det med en typing, slik at man kunne ha gått over til ORh D+ blod. </w:t>
            </w:r>
          </w:p>
          <w:p w:rsidR="007B1818" w:rsidRDefault="007B1818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7B1818" w:rsidRDefault="007B1818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Det vil også bli tatt opp til diskusjon antall enheter som blir rekvirert i hver omgang. </w:t>
            </w:r>
          </w:p>
          <w:p w:rsidR="0048582E" w:rsidRDefault="0048582E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48582E" w:rsidRDefault="0048582E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Det blir diskutert som ønsket lager på sykehuset er fornuftig. </w:t>
            </w:r>
          </w:p>
          <w:p w:rsidR="0048582E" w:rsidRDefault="0048582E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48582E" w:rsidRDefault="0048582E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>O+ (35-45), O- (</w:t>
            </w:r>
            <w:r w:rsidR="00B14321">
              <w:t>20-25), A+ (30-35), A- (15-20), B+ (5-10), B- (2-5).</w:t>
            </w:r>
          </w:p>
          <w:p w:rsidR="00B14321" w:rsidRDefault="00B14321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645137" w:rsidRDefault="00CA25D3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Kritisk grense på O- er satt til 15 enheter. </w:t>
            </w:r>
            <w:r w:rsidR="00E970C2">
              <w:t xml:space="preserve"> Ved lager nede på 12 enheter skal det gjøres innkjøp. </w:t>
            </w:r>
            <w:r>
              <w:t>De går gjennom kalenderen så langt i 201</w:t>
            </w:r>
            <w:r w:rsidR="00E970C2">
              <w:t>8 og det er kun to dager de har</w:t>
            </w:r>
            <w:r>
              <w:t xml:space="preserve"> vært nede på 15</w:t>
            </w:r>
            <w:r w:rsidR="00645137">
              <w:t xml:space="preserve"> enheter</w:t>
            </w:r>
            <w:r>
              <w:t>.</w:t>
            </w:r>
          </w:p>
          <w:p w:rsidR="00645137" w:rsidRDefault="00645137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5D41F1" w:rsidRDefault="00645137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Lageret blir gjennomgått hver dag og innkalling av givere styres </w:t>
            </w:r>
            <w:r w:rsidR="00CA316A">
              <w:t>etter lagerbeholdningen. I tillegg har sykehuset Levanger en utveksling avtale med Namsos syke</w:t>
            </w:r>
            <w:r w:rsidR="00DD36E8">
              <w:t>h</w:t>
            </w:r>
            <w:r w:rsidR="00CA316A">
              <w:t xml:space="preserve">us for å </w:t>
            </w:r>
            <w:r w:rsidR="00DD36E8">
              <w:t>unngå at produkter blir kassert. Maksimalt er det ikke mer enn ca.</w:t>
            </w:r>
            <w:r w:rsidR="003D48F9">
              <w:t xml:space="preserve"> mellom</w:t>
            </w:r>
            <w:r w:rsidR="00DD36E8">
              <w:t xml:space="preserve"> </w:t>
            </w:r>
            <w:r w:rsidR="003D48F9">
              <w:t xml:space="preserve">0,5 - </w:t>
            </w:r>
            <w:r w:rsidR="00DD36E8">
              <w:t>6 % av de produserte enhetene som ikke blir brukt</w:t>
            </w:r>
            <w:r w:rsidR="005D41F1">
              <w:t xml:space="preserve">. </w:t>
            </w:r>
          </w:p>
          <w:p w:rsidR="005D41F1" w:rsidRDefault="005D41F1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B14321" w:rsidRPr="00086818" w:rsidRDefault="005D41F1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Lagerbeholdningen og styringen av </w:t>
            </w:r>
            <w:r w:rsidR="00881102">
              <w:t>la</w:t>
            </w:r>
            <w:r>
              <w:t xml:space="preserve">geret synes </w:t>
            </w:r>
            <w:r w:rsidR="00881102">
              <w:t>å</w:t>
            </w:r>
            <w:r>
              <w:t xml:space="preserve"> ligge på et godt og fornuftig nivå. </w:t>
            </w:r>
            <w:r w:rsidR="00881102">
              <w:t xml:space="preserve">Vurderes ikke grunnlag for å endre på dette. </w:t>
            </w:r>
          </w:p>
          <w:p w:rsidR="00B8768D" w:rsidRDefault="00B8768D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B8768D" w:rsidRDefault="00B8768D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B8768D" w:rsidRDefault="00B8768D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B8768D" w:rsidRDefault="00B8768D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B8768D" w:rsidRPr="00755904" w:rsidRDefault="00B8768D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3835EB" w:rsidRPr="008F3575" w:rsidTr="006423AF">
        <w:trPr>
          <w:trHeight w:val="719"/>
        </w:trPr>
        <w:tc>
          <w:tcPr>
            <w:tcW w:w="1980" w:type="dxa"/>
          </w:tcPr>
          <w:p w:rsidR="003835EB" w:rsidRDefault="003835EB" w:rsidP="006423AF">
            <w:pPr>
              <w:rPr>
                <w:b/>
                <w:bCs/>
                <w:lang w:val="nb-NO"/>
              </w:rPr>
            </w:pPr>
          </w:p>
          <w:p w:rsidR="003835EB" w:rsidRDefault="003835EB" w:rsidP="006423AF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7</w:t>
            </w:r>
          </w:p>
        </w:tc>
        <w:tc>
          <w:tcPr>
            <w:tcW w:w="7560" w:type="dxa"/>
          </w:tcPr>
          <w:p w:rsidR="003835EB" w:rsidRDefault="003835EB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384599" w:rsidRDefault="00881102" w:rsidP="006423AF">
            <w:pPr>
              <w:pStyle w:val="Topptekst"/>
              <w:tabs>
                <w:tab w:val="clear" w:pos="4536"/>
                <w:tab w:val="clear" w:pos="9072"/>
              </w:tabs>
            </w:pPr>
            <w:r>
              <w:t>Informasjon til givere etter</w:t>
            </w:r>
            <w:r w:rsidR="00AF6054">
              <w:t xml:space="preserve"> innføring av den nye personvernloven. </w:t>
            </w:r>
            <w:r w:rsidR="006E70FA">
              <w:t xml:space="preserve">De har tenkt at informasjon </w:t>
            </w:r>
            <w:r w:rsidR="00AF6054">
              <w:t xml:space="preserve">til givere skal sendes ut som </w:t>
            </w:r>
            <w:r w:rsidR="006E70FA">
              <w:t xml:space="preserve">på SMS. </w:t>
            </w:r>
            <w:r w:rsidR="00BD666D">
              <w:t>Levanger ønsker å gi den samme informasjonen som blir gitt på St Olavs. Her vil det ikke bli sendt ut SMS, men informasjon legges</w:t>
            </w:r>
            <w:r w:rsidR="00306DED">
              <w:t xml:space="preserve"> på blodbanken sin hje</w:t>
            </w:r>
            <w:r w:rsidR="00BD666D">
              <w:t>mmeside.</w:t>
            </w:r>
          </w:p>
          <w:p w:rsidR="00384599" w:rsidRPr="007649D5" w:rsidRDefault="00384599" w:rsidP="006423AF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3835EB" w:rsidRPr="008F3575" w:rsidTr="006423AF">
        <w:trPr>
          <w:trHeight w:val="719"/>
        </w:trPr>
        <w:tc>
          <w:tcPr>
            <w:tcW w:w="1980" w:type="dxa"/>
          </w:tcPr>
          <w:p w:rsidR="003835EB" w:rsidRDefault="003835EB" w:rsidP="006423AF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lastRenderedPageBreak/>
              <w:t>8</w:t>
            </w:r>
          </w:p>
        </w:tc>
        <w:tc>
          <w:tcPr>
            <w:tcW w:w="7560" w:type="dxa"/>
          </w:tcPr>
          <w:p w:rsidR="003835EB" w:rsidRDefault="003835EB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3835EB" w:rsidRPr="00C21142" w:rsidRDefault="00C21142" w:rsidP="00384599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 xml:space="preserve">Internundervisning </w:t>
            </w:r>
            <w:r w:rsidR="007E2A0E">
              <w:rPr>
                <w:bCs/>
              </w:rPr>
              <w:t xml:space="preserve">fra kl. 12.00-12.30 høyfrekvente og lavfrekvente </w:t>
            </w:r>
            <w:r w:rsidR="00A92376">
              <w:rPr>
                <w:bCs/>
              </w:rPr>
              <w:t>antigen innenfor Kell-blodgruppesystem</w:t>
            </w:r>
            <w:r>
              <w:rPr>
                <w:bCs/>
              </w:rPr>
              <w:t xml:space="preserve"> </w:t>
            </w:r>
          </w:p>
          <w:p w:rsidR="00384599" w:rsidRDefault="00384599" w:rsidP="00384599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384599" w:rsidRPr="00755904" w:rsidRDefault="00384599" w:rsidP="00384599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3835EB" w:rsidRPr="008F3575" w:rsidTr="006423AF">
        <w:trPr>
          <w:trHeight w:val="719"/>
        </w:trPr>
        <w:tc>
          <w:tcPr>
            <w:tcW w:w="1980" w:type="dxa"/>
          </w:tcPr>
          <w:p w:rsidR="003835EB" w:rsidRDefault="003835EB" w:rsidP="006423AF">
            <w:pPr>
              <w:rPr>
                <w:b/>
                <w:bCs/>
                <w:lang w:val="nb-NO"/>
              </w:rPr>
            </w:pPr>
          </w:p>
          <w:p w:rsidR="003835EB" w:rsidRDefault="003835EB" w:rsidP="006423AF">
            <w:pPr>
              <w:rPr>
                <w:b/>
                <w:bCs/>
                <w:lang w:val="nb-NO"/>
              </w:rPr>
            </w:pPr>
          </w:p>
        </w:tc>
        <w:tc>
          <w:tcPr>
            <w:tcW w:w="7560" w:type="dxa"/>
          </w:tcPr>
          <w:p w:rsidR="00384599" w:rsidRPr="00755904" w:rsidRDefault="00384599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3835EB" w:rsidRPr="00DD36E8" w:rsidTr="006423AF">
        <w:trPr>
          <w:trHeight w:val="719"/>
        </w:trPr>
        <w:tc>
          <w:tcPr>
            <w:tcW w:w="1980" w:type="dxa"/>
          </w:tcPr>
          <w:p w:rsidR="003835EB" w:rsidRDefault="003835EB" w:rsidP="006423AF">
            <w:pPr>
              <w:rPr>
                <w:b/>
                <w:bCs/>
                <w:lang w:val="nb-NO"/>
              </w:rPr>
            </w:pPr>
          </w:p>
          <w:p w:rsidR="003835EB" w:rsidRDefault="003D48F9" w:rsidP="006423AF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10.</w:t>
            </w:r>
          </w:p>
        </w:tc>
        <w:tc>
          <w:tcPr>
            <w:tcW w:w="7560" w:type="dxa"/>
          </w:tcPr>
          <w:p w:rsidR="003835EB" w:rsidRDefault="003835EB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3835EB" w:rsidRDefault="003835EB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Neste besøk</w:t>
            </w:r>
          </w:p>
          <w:p w:rsidR="003835EB" w:rsidRPr="003B26FD" w:rsidRDefault="003835EB" w:rsidP="006423AF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  <w:r w:rsidRPr="003B26FD">
              <w:rPr>
                <w:bCs/>
              </w:rPr>
              <w:t>Ikke avtalt.</w:t>
            </w:r>
          </w:p>
          <w:p w:rsidR="003835EB" w:rsidRDefault="003835EB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3835EB" w:rsidRDefault="003835EB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3835EB" w:rsidRPr="008537B3" w:rsidTr="006423AF">
        <w:trPr>
          <w:trHeight w:val="719"/>
        </w:trPr>
        <w:tc>
          <w:tcPr>
            <w:tcW w:w="1980" w:type="dxa"/>
          </w:tcPr>
          <w:p w:rsidR="003835EB" w:rsidRDefault="003835EB" w:rsidP="006423AF">
            <w:pPr>
              <w:rPr>
                <w:b/>
                <w:bCs/>
                <w:lang w:val="nb-NO"/>
              </w:rPr>
            </w:pPr>
          </w:p>
          <w:p w:rsidR="003835EB" w:rsidRDefault="003835EB" w:rsidP="006423AF">
            <w:pPr>
              <w:rPr>
                <w:b/>
                <w:bCs/>
                <w:lang w:val="nb-NO"/>
              </w:rPr>
            </w:pPr>
          </w:p>
        </w:tc>
        <w:tc>
          <w:tcPr>
            <w:tcW w:w="7560" w:type="dxa"/>
          </w:tcPr>
          <w:p w:rsidR="003835EB" w:rsidRDefault="003835EB" w:rsidP="006423AF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3835EB" w:rsidRDefault="003835EB" w:rsidP="00384599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Trondheim </w:t>
            </w:r>
            <w:r w:rsidR="00384599">
              <w:rPr>
                <w:b/>
                <w:bCs/>
              </w:rPr>
              <w:t>12.06.18</w:t>
            </w:r>
            <w:r>
              <w:rPr>
                <w:b/>
                <w:bCs/>
              </w:rPr>
              <w:t xml:space="preserve">                          </w:t>
            </w:r>
            <w:r w:rsidR="00384599">
              <w:rPr>
                <w:b/>
                <w:bCs/>
              </w:rPr>
              <w:t>Vibeke Stenhaug Langaas</w:t>
            </w:r>
          </w:p>
        </w:tc>
      </w:tr>
    </w:tbl>
    <w:p w:rsidR="003835EB" w:rsidRPr="00460F86" w:rsidRDefault="003835EB" w:rsidP="003835EB">
      <w:pPr>
        <w:rPr>
          <w:b/>
          <w:bCs/>
          <w:lang w:val="nb-NO"/>
        </w:rPr>
      </w:pPr>
    </w:p>
    <w:p w:rsidR="00E84EFD" w:rsidRDefault="008F3575"/>
    <w:sectPr w:rsidR="00E84EFD" w:rsidSect="00C33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0A" w:rsidRDefault="008C220A" w:rsidP="00384599">
      <w:r>
        <w:separator/>
      </w:r>
    </w:p>
  </w:endnote>
  <w:endnote w:type="continuationSeparator" w:id="0">
    <w:p w:rsidR="008C220A" w:rsidRDefault="008C220A" w:rsidP="0038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99" w:rsidRDefault="0038459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6C" w:rsidRDefault="00EA7F0D">
    <w:pPr>
      <w:pStyle w:val="Bunntekst"/>
      <w:jc w:val="center"/>
      <w:rPr>
        <w:rFonts w:ascii="Arial" w:hAnsi="Arial" w:cs="Arial"/>
        <w:b/>
        <w:bCs/>
        <w:lang w:val="nb-NO"/>
      </w:rPr>
    </w:pPr>
    <w:r>
      <w:rPr>
        <w:rFonts w:ascii="Arial" w:hAnsi="Arial" w:cs="Arial"/>
        <w:b/>
        <w:bCs/>
        <w:lang w:val="nb-NO"/>
      </w:rPr>
      <w:t xml:space="preserve">RAPPORT BESØK </w:t>
    </w:r>
    <w:r w:rsidR="00384599">
      <w:rPr>
        <w:rFonts w:ascii="Arial" w:hAnsi="Arial" w:cs="Arial"/>
        <w:b/>
        <w:bCs/>
        <w:lang w:val="nb-NO"/>
      </w:rPr>
      <w:t>12.06.18</w:t>
    </w:r>
    <w:r>
      <w:rPr>
        <w:rFonts w:ascii="Arial" w:hAnsi="Arial" w:cs="Arial"/>
        <w:b/>
        <w:bCs/>
        <w:lang w:val="nb-NO"/>
      </w:rPr>
      <w:t xml:space="preserve"> </w:t>
    </w:r>
  </w:p>
  <w:p w:rsidR="000B2A6C" w:rsidRDefault="008F3575">
    <w:pPr>
      <w:pStyle w:val="Bunntekst"/>
      <w:jc w:val="center"/>
      <w:rPr>
        <w:rFonts w:ascii="Arial" w:hAnsi="Arial" w:cs="Arial"/>
        <w:b/>
        <w:bCs/>
        <w:lang w:val="nb-NO"/>
      </w:rPr>
    </w:pPr>
  </w:p>
  <w:p w:rsidR="000B2A6C" w:rsidRDefault="008F3575">
    <w:pPr>
      <w:pStyle w:val="Bunntekst"/>
      <w:jc w:val="center"/>
      <w:rPr>
        <w:rFonts w:ascii="Arial" w:hAnsi="Arial" w:cs="Arial"/>
        <w:b/>
        <w:bCs/>
        <w:lang w:val="nb-NO"/>
      </w:rPr>
    </w:pPr>
  </w:p>
  <w:p w:rsidR="000B2A6C" w:rsidRDefault="00EA7F0D">
    <w:pPr>
      <w:pStyle w:val="Bunntekst"/>
      <w:jc w:val="center"/>
      <w:rPr>
        <w:lang w:val="nb-NO"/>
      </w:rPr>
    </w:pPr>
    <w:r>
      <w:rPr>
        <w:rFonts w:ascii="Arial" w:hAnsi="Arial" w:cs="Arial"/>
        <w:b/>
        <w:bCs/>
        <w:lang w:val="nb-NO"/>
      </w:rPr>
      <w:t xml:space="preserve">Side </w:t>
    </w:r>
    <w:r>
      <w:rPr>
        <w:rFonts w:ascii="Arial" w:hAnsi="Arial" w:cs="Arial"/>
        <w:b/>
        <w:bCs/>
        <w:lang w:val="nb-NO"/>
      </w:rPr>
      <w:fldChar w:fldCharType="begin"/>
    </w:r>
    <w:r>
      <w:rPr>
        <w:rFonts w:ascii="Arial" w:hAnsi="Arial" w:cs="Arial"/>
        <w:b/>
        <w:bCs/>
        <w:lang w:val="nb-NO"/>
      </w:rPr>
      <w:instrText xml:space="preserve"> PAGE </w:instrText>
    </w:r>
    <w:r>
      <w:rPr>
        <w:rFonts w:ascii="Arial" w:hAnsi="Arial" w:cs="Arial"/>
        <w:b/>
        <w:bCs/>
        <w:lang w:val="nb-NO"/>
      </w:rPr>
      <w:fldChar w:fldCharType="separate"/>
    </w:r>
    <w:r w:rsidR="008F3575">
      <w:rPr>
        <w:rFonts w:ascii="Arial" w:hAnsi="Arial" w:cs="Arial"/>
        <w:b/>
        <w:bCs/>
        <w:noProof/>
        <w:lang w:val="nb-NO"/>
      </w:rPr>
      <w:t>1</w:t>
    </w:r>
    <w:r>
      <w:rPr>
        <w:rFonts w:ascii="Arial" w:hAnsi="Arial" w:cs="Arial"/>
        <w:b/>
        <w:bCs/>
        <w:lang w:val="nb-NO"/>
      </w:rPr>
      <w:fldChar w:fldCharType="end"/>
    </w:r>
    <w:r>
      <w:rPr>
        <w:rFonts w:ascii="Arial" w:hAnsi="Arial" w:cs="Arial"/>
        <w:b/>
        <w:bCs/>
        <w:lang w:val="nb-NO"/>
      </w:rPr>
      <w:t xml:space="preserve"> av </w:t>
    </w:r>
    <w:r>
      <w:rPr>
        <w:rFonts w:ascii="Arial" w:hAnsi="Arial" w:cs="Arial"/>
        <w:b/>
        <w:bCs/>
        <w:lang w:val="nb-NO"/>
      </w:rPr>
      <w:fldChar w:fldCharType="begin"/>
    </w:r>
    <w:r>
      <w:rPr>
        <w:rFonts w:ascii="Arial" w:hAnsi="Arial" w:cs="Arial"/>
        <w:b/>
        <w:bCs/>
        <w:lang w:val="nb-NO"/>
      </w:rPr>
      <w:instrText xml:space="preserve"> NUMPAGES </w:instrText>
    </w:r>
    <w:r>
      <w:rPr>
        <w:rFonts w:ascii="Arial" w:hAnsi="Arial" w:cs="Arial"/>
        <w:b/>
        <w:bCs/>
        <w:lang w:val="nb-NO"/>
      </w:rPr>
      <w:fldChar w:fldCharType="separate"/>
    </w:r>
    <w:r w:rsidR="008F3575">
      <w:rPr>
        <w:rFonts w:ascii="Arial" w:hAnsi="Arial" w:cs="Arial"/>
        <w:b/>
        <w:bCs/>
        <w:noProof/>
        <w:lang w:val="nb-NO"/>
      </w:rPr>
      <w:t>4</w:t>
    </w:r>
    <w:r>
      <w:rPr>
        <w:rFonts w:ascii="Arial" w:hAnsi="Arial" w:cs="Arial"/>
        <w:b/>
        <w:bCs/>
        <w:lang w:val="nb-N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99" w:rsidRDefault="0038459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0A" w:rsidRDefault="008C220A" w:rsidP="00384599">
      <w:r>
        <w:separator/>
      </w:r>
    </w:p>
  </w:footnote>
  <w:footnote w:type="continuationSeparator" w:id="0">
    <w:p w:rsidR="008C220A" w:rsidRDefault="008C220A" w:rsidP="00384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99" w:rsidRDefault="0038459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99" w:rsidRDefault="0038459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99" w:rsidRDefault="0038459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EB"/>
    <w:rsid w:val="00050B8F"/>
    <w:rsid w:val="00086818"/>
    <w:rsid w:val="000B2A8C"/>
    <w:rsid w:val="000E00F6"/>
    <w:rsid w:val="001204C1"/>
    <w:rsid w:val="00137D8D"/>
    <w:rsid w:val="0015577C"/>
    <w:rsid w:val="00181B0C"/>
    <w:rsid w:val="00267B72"/>
    <w:rsid w:val="00271A00"/>
    <w:rsid w:val="0028099E"/>
    <w:rsid w:val="002B0FE6"/>
    <w:rsid w:val="002C14D0"/>
    <w:rsid w:val="002C1A0C"/>
    <w:rsid w:val="002F1E7B"/>
    <w:rsid w:val="00306DED"/>
    <w:rsid w:val="00314CCF"/>
    <w:rsid w:val="00322DDF"/>
    <w:rsid w:val="003835EB"/>
    <w:rsid w:val="00384599"/>
    <w:rsid w:val="00391530"/>
    <w:rsid w:val="003D48F9"/>
    <w:rsid w:val="00425881"/>
    <w:rsid w:val="0048582E"/>
    <w:rsid w:val="004A753A"/>
    <w:rsid w:val="0054457C"/>
    <w:rsid w:val="00562CFF"/>
    <w:rsid w:val="00594E9D"/>
    <w:rsid w:val="005C0199"/>
    <w:rsid w:val="005D41F1"/>
    <w:rsid w:val="005F648F"/>
    <w:rsid w:val="0060217D"/>
    <w:rsid w:val="00645137"/>
    <w:rsid w:val="00656495"/>
    <w:rsid w:val="006E70FA"/>
    <w:rsid w:val="007B1818"/>
    <w:rsid w:val="007C5D58"/>
    <w:rsid w:val="007D3C5C"/>
    <w:rsid w:val="007D522A"/>
    <w:rsid w:val="007E2A0E"/>
    <w:rsid w:val="00810B7F"/>
    <w:rsid w:val="00881102"/>
    <w:rsid w:val="008C220A"/>
    <w:rsid w:val="008E2053"/>
    <w:rsid w:val="008F3575"/>
    <w:rsid w:val="00905E23"/>
    <w:rsid w:val="00920ACE"/>
    <w:rsid w:val="009B1C1E"/>
    <w:rsid w:val="009D122D"/>
    <w:rsid w:val="00A363ED"/>
    <w:rsid w:val="00A51D7A"/>
    <w:rsid w:val="00A52F23"/>
    <w:rsid w:val="00A83F1C"/>
    <w:rsid w:val="00A92376"/>
    <w:rsid w:val="00AC5559"/>
    <w:rsid w:val="00AE0AF3"/>
    <w:rsid w:val="00AF6054"/>
    <w:rsid w:val="00B14321"/>
    <w:rsid w:val="00B8768D"/>
    <w:rsid w:val="00B90BF7"/>
    <w:rsid w:val="00B95505"/>
    <w:rsid w:val="00BB1B77"/>
    <w:rsid w:val="00BD666D"/>
    <w:rsid w:val="00C21142"/>
    <w:rsid w:val="00C549EB"/>
    <w:rsid w:val="00CA25D3"/>
    <w:rsid w:val="00CA316A"/>
    <w:rsid w:val="00CB4686"/>
    <w:rsid w:val="00CD44EC"/>
    <w:rsid w:val="00CD5ABD"/>
    <w:rsid w:val="00D1485C"/>
    <w:rsid w:val="00D424C3"/>
    <w:rsid w:val="00D64B96"/>
    <w:rsid w:val="00D66CD3"/>
    <w:rsid w:val="00D92414"/>
    <w:rsid w:val="00DA3256"/>
    <w:rsid w:val="00DB7042"/>
    <w:rsid w:val="00DD25A1"/>
    <w:rsid w:val="00DD36E8"/>
    <w:rsid w:val="00DD7133"/>
    <w:rsid w:val="00E10407"/>
    <w:rsid w:val="00E20A0B"/>
    <w:rsid w:val="00E3244C"/>
    <w:rsid w:val="00E970C2"/>
    <w:rsid w:val="00EA7494"/>
    <w:rsid w:val="00EA7F0D"/>
    <w:rsid w:val="00EC4311"/>
    <w:rsid w:val="00ED7AE8"/>
    <w:rsid w:val="00EF2FD4"/>
    <w:rsid w:val="00EF76B2"/>
    <w:rsid w:val="00F15894"/>
    <w:rsid w:val="00F608C9"/>
    <w:rsid w:val="00F93D9A"/>
    <w:rsid w:val="00FC3D5A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3835EB"/>
    <w:pPr>
      <w:keepNext/>
      <w:outlineLvl w:val="2"/>
    </w:pPr>
    <w:rPr>
      <w:rFonts w:ascii="Garamond" w:hAnsi="Garamond"/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3835EB"/>
    <w:rPr>
      <w:rFonts w:ascii="Garamond" w:eastAsia="Times New Roman" w:hAnsi="Garamond" w:cs="Times New Roman"/>
      <w:b/>
      <w:bCs/>
      <w:sz w:val="28"/>
      <w:szCs w:val="24"/>
      <w:lang w:eastAsia="nb-NO"/>
    </w:rPr>
  </w:style>
  <w:style w:type="paragraph" w:styleId="Topptekst">
    <w:name w:val="header"/>
    <w:basedOn w:val="Normal"/>
    <w:link w:val="TopptekstTegn"/>
    <w:rsid w:val="003835EB"/>
    <w:pPr>
      <w:tabs>
        <w:tab w:val="center" w:pos="4536"/>
        <w:tab w:val="right" w:pos="9072"/>
      </w:tabs>
    </w:pPr>
    <w:rPr>
      <w:lang w:val="nb-NO"/>
    </w:rPr>
  </w:style>
  <w:style w:type="character" w:customStyle="1" w:styleId="TopptekstTegn">
    <w:name w:val="Topptekst Tegn"/>
    <w:basedOn w:val="Standardskriftforavsnitt"/>
    <w:link w:val="Topptekst"/>
    <w:rsid w:val="003835E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3835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835EB"/>
    <w:rPr>
      <w:rFonts w:ascii="Times New Roman" w:eastAsia="Times New Roman" w:hAnsi="Times New Roman" w:cs="Times New Roman"/>
      <w:sz w:val="24"/>
      <w:szCs w:val="24"/>
      <w:lang w:val="en-US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3835EB"/>
    <w:pPr>
      <w:keepNext/>
      <w:outlineLvl w:val="2"/>
    </w:pPr>
    <w:rPr>
      <w:rFonts w:ascii="Garamond" w:hAnsi="Garamond"/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3835EB"/>
    <w:rPr>
      <w:rFonts w:ascii="Garamond" w:eastAsia="Times New Roman" w:hAnsi="Garamond" w:cs="Times New Roman"/>
      <w:b/>
      <w:bCs/>
      <w:sz w:val="28"/>
      <w:szCs w:val="24"/>
      <w:lang w:eastAsia="nb-NO"/>
    </w:rPr>
  </w:style>
  <w:style w:type="paragraph" w:styleId="Topptekst">
    <w:name w:val="header"/>
    <w:basedOn w:val="Normal"/>
    <w:link w:val="TopptekstTegn"/>
    <w:rsid w:val="003835EB"/>
    <w:pPr>
      <w:tabs>
        <w:tab w:val="center" w:pos="4536"/>
        <w:tab w:val="right" w:pos="9072"/>
      </w:tabs>
    </w:pPr>
    <w:rPr>
      <w:lang w:val="nb-NO"/>
    </w:rPr>
  </w:style>
  <w:style w:type="character" w:customStyle="1" w:styleId="TopptekstTegn">
    <w:name w:val="Topptekst Tegn"/>
    <w:basedOn w:val="Standardskriftforavsnitt"/>
    <w:link w:val="Topptekst"/>
    <w:rsid w:val="003835E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3835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835EB"/>
    <w:rPr>
      <w:rFonts w:ascii="Times New Roman" w:eastAsia="Times New Roman" w:hAnsi="Times New Roman" w:cs="Times New Roman"/>
      <w:sz w:val="24"/>
      <w:szCs w:val="24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5182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Langaas, Vibeke Stenhaug</dc:creator>
  <cp:lastModifiedBy>Andersen, Gunn Mary</cp:lastModifiedBy>
  <cp:revision>2</cp:revision>
  <cp:lastPrinted>2018-06-22T10:18:00Z</cp:lastPrinted>
  <dcterms:created xsi:type="dcterms:W3CDTF">2018-09-04T13:04:00Z</dcterms:created>
  <dcterms:modified xsi:type="dcterms:W3CDTF">2018-09-04T13:04:00Z</dcterms:modified>
</cp:coreProperties>
</file>