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E26" w:rsidRDefault="00260E26" w:rsidP="00260E26">
      <w:pPr>
        <w:rPr>
          <w:sz w:val="32"/>
          <w:szCs w:val="32"/>
        </w:rPr>
      </w:pPr>
      <w:bookmarkStart w:id="0" w:name="_GoBack"/>
      <w:bookmarkEnd w:id="0"/>
      <w:r>
        <w:rPr>
          <w:sz w:val="32"/>
          <w:szCs w:val="32"/>
        </w:rPr>
        <w:t>Rutine for organisasjonsendringer i Helse Nord-Trøndelag HF</w:t>
      </w:r>
    </w:p>
    <w:p w:rsidR="00260E26" w:rsidRDefault="00260E26" w:rsidP="00260E26">
      <w:pPr>
        <w:rPr>
          <w:sz w:val="28"/>
          <w:szCs w:val="28"/>
        </w:rPr>
      </w:pPr>
      <w:r>
        <w:rPr>
          <w:sz w:val="28"/>
          <w:szCs w:val="28"/>
        </w:rPr>
        <w:t>Hensikt</w:t>
      </w:r>
    </w:p>
    <w:p w:rsidR="00260E26" w:rsidRDefault="00260E26" w:rsidP="00260E26">
      <w:r>
        <w:t xml:space="preserve">RESH </w:t>
      </w:r>
      <w:hyperlink r:id="rId5" w:history="1">
        <w:r w:rsidRPr="000B1A44">
          <w:rPr>
            <w:rStyle w:val="Hyperkobling"/>
          </w:rPr>
          <w:t>(Register over enheter i spesialisthelsetjenesten)</w:t>
        </w:r>
      </w:hyperlink>
      <w:r>
        <w:t xml:space="preserve"> er et nasjonalt register med informasjon om virksomhetenes orga</w:t>
      </w:r>
      <w:r w:rsidR="00B43C3A">
        <w:t>nisatoriske struktur og klinisk</w:t>
      </w:r>
      <w:r>
        <w:t xml:space="preserve"> virksomhet. Alle virksomheter som bidrar i den statlig finansierte spesialisthelsetjenesten i Norge har ansvar for å vedlikeholde informasjon om sine enheter i den nasjonale RESH databasen.</w:t>
      </w:r>
    </w:p>
    <w:p w:rsidR="00260E26" w:rsidRDefault="00260E26" w:rsidP="00260E26">
      <w:r>
        <w:t>RESH benyttes som et nasjonalt verktøy til å øke kvaliteten på helsestatistikken i Norge. Informasjonen som registreres i RESH benyttes av flere tjenester som for registrering og visning av ventetider ved de ulike behandlingsstedene og til statistikk for både NPR og SSB.</w:t>
      </w:r>
    </w:p>
    <w:p w:rsidR="00260E26" w:rsidRDefault="00260E26" w:rsidP="00260E26">
      <w:r>
        <w:t>SAP, den nye logistikk- og økonomiløsningen i Helse Midt-Norge, som er implementert i Helse Nord-Trøndelag 1. juni 2016 benytter RESH i økonomimodellen som Profittsenter og Profittsenterhierarki, som erstatning for begrepet ansvar.</w:t>
      </w:r>
    </w:p>
    <w:p w:rsidR="00B43C3A" w:rsidRDefault="00B43C3A" w:rsidP="00260E26">
      <w:r>
        <w:t>Helseplattformen (HP) vil i sin organisasjonsstruktur (</w:t>
      </w:r>
      <w:proofErr w:type="spellStart"/>
      <w:r>
        <w:t>Facility</w:t>
      </w:r>
      <w:proofErr w:type="spellEnd"/>
      <w:r>
        <w:t xml:space="preserve"> </w:t>
      </w:r>
      <w:proofErr w:type="spellStart"/>
      <w:r>
        <w:t>Structure</w:t>
      </w:r>
      <w:proofErr w:type="spellEnd"/>
      <w:r>
        <w:t>) også benytte RESH-registeret som grunnlag.</w:t>
      </w:r>
    </w:p>
    <w:p w:rsidR="00260E26" w:rsidRDefault="00260E26" w:rsidP="00260E26">
      <w:r>
        <w:t>Gode, robuste rutiner for administrering av organisatoriske enheter og relaterte struktu</w:t>
      </w:r>
      <w:r w:rsidR="00B43C3A">
        <w:t xml:space="preserve">rer er viktig slik at RESH, SAP, HP </w:t>
      </w:r>
      <w:r>
        <w:t>og eventuelle andre (rand)systemer til enhver tid har korrekt informasjon om den gjeldende organiseringen.</w:t>
      </w:r>
    </w:p>
    <w:p w:rsidR="00260E26" w:rsidRDefault="00260E26" w:rsidP="00260E26">
      <w:r>
        <w:t xml:space="preserve">Seksjon for kvalitet og </w:t>
      </w:r>
      <w:r w:rsidR="002B5A3B">
        <w:t>virksomhetsstyring,</w:t>
      </w:r>
      <w:r>
        <w:t xml:space="preserve"> som </w:t>
      </w:r>
      <w:proofErr w:type="spellStart"/>
      <w:r>
        <w:t>system</w:t>
      </w:r>
      <w:r w:rsidR="00F14BD8">
        <w:t>anvarlig</w:t>
      </w:r>
      <w:proofErr w:type="spellEnd"/>
      <w:r>
        <w:t xml:space="preserve"> for RESH</w:t>
      </w:r>
      <w:r w:rsidR="00F14BD8">
        <w:t>-registeret for</w:t>
      </w:r>
      <w:r>
        <w:t xml:space="preserve"> Helse Nord-Trøndelag</w:t>
      </w:r>
      <w:r w:rsidR="002B5A3B">
        <w:t>,</w:t>
      </w:r>
      <w:r>
        <w:t xml:space="preserve"> har ansvar for RESH-rutinen.</w:t>
      </w:r>
    </w:p>
    <w:p w:rsidR="00260E26" w:rsidRDefault="00260E26" w:rsidP="00260E26">
      <w:r>
        <w:t>RESH og RESH-databasen kan betraktes som masterdata for organisasjonsstrukturen i vårt foretak.</w:t>
      </w:r>
    </w:p>
    <w:p w:rsidR="00260E26" w:rsidRDefault="00260E26" w:rsidP="00260E26">
      <w:pPr>
        <w:rPr>
          <w:sz w:val="28"/>
          <w:szCs w:val="28"/>
        </w:rPr>
      </w:pPr>
    </w:p>
    <w:p w:rsidR="00260E26" w:rsidRDefault="00260E26" w:rsidP="00260E26">
      <w:pPr>
        <w:rPr>
          <w:sz w:val="28"/>
          <w:szCs w:val="28"/>
        </w:rPr>
      </w:pPr>
      <w:r>
        <w:rPr>
          <w:sz w:val="28"/>
          <w:szCs w:val="28"/>
        </w:rPr>
        <w:t>Omfang</w:t>
      </w:r>
    </w:p>
    <w:p w:rsidR="00260E26" w:rsidRDefault="00260E26" w:rsidP="00260E26">
      <w:r>
        <w:t>Rutinen angår lederne, rådgivere og systemansvarlige når det identifiseres et behov for endringer i den eksisterende organiseringen. Dette omfatter per i dag også endringer av PAS-enheter fordi disse har krav om å kunne identifiseres med RESH-ID.</w:t>
      </w:r>
    </w:p>
    <w:p w:rsidR="00260E26" w:rsidRDefault="00260E26" w:rsidP="00260E26">
      <w:pPr>
        <w:rPr>
          <w:sz w:val="28"/>
          <w:szCs w:val="28"/>
        </w:rPr>
      </w:pPr>
    </w:p>
    <w:p w:rsidR="00260E26" w:rsidRDefault="00260E26" w:rsidP="00260E26">
      <w:pPr>
        <w:rPr>
          <w:sz w:val="28"/>
          <w:szCs w:val="28"/>
        </w:rPr>
      </w:pPr>
      <w:r>
        <w:rPr>
          <w:sz w:val="28"/>
          <w:szCs w:val="28"/>
        </w:rPr>
        <w:t>Definisjoner</w:t>
      </w:r>
    </w:p>
    <w:p w:rsidR="00260E26" w:rsidRDefault="00260E26" w:rsidP="00260E26">
      <w:r>
        <w:t>RESH</w:t>
      </w:r>
      <w:r>
        <w:tab/>
      </w:r>
      <w:r>
        <w:tab/>
      </w:r>
      <w:r>
        <w:tab/>
        <w:t>Register over enheter i spesialisthelsetjenesten (nasjonal database)</w:t>
      </w:r>
    </w:p>
    <w:p w:rsidR="00260E26" w:rsidRDefault="00260E26" w:rsidP="00260E26">
      <w:pPr>
        <w:spacing w:after="0"/>
      </w:pPr>
      <w:r>
        <w:t>RESH-ID</w:t>
      </w:r>
      <w:r>
        <w:tab/>
      </w:r>
      <w:r>
        <w:tab/>
        <w:t>Unik identifikator av enheter i RESH-databasen</w:t>
      </w:r>
    </w:p>
    <w:p w:rsidR="00260E26" w:rsidRDefault="00260E26" w:rsidP="00260E26">
      <w:pPr>
        <w:pStyle w:val="Listeavsnitt"/>
        <w:spacing w:after="0"/>
        <w:ind w:left="2490"/>
      </w:pPr>
    </w:p>
    <w:p w:rsidR="00260E26" w:rsidRDefault="00260E26" w:rsidP="00260E26">
      <w:r>
        <w:t>SAP</w:t>
      </w:r>
      <w:r>
        <w:tab/>
      </w:r>
      <w:r>
        <w:tab/>
      </w:r>
      <w:r>
        <w:tab/>
        <w:t>Helse Midt-Norge sin logistikk- og økonomiløsning levert av IBM</w:t>
      </w:r>
    </w:p>
    <w:p w:rsidR="00260E26" w:rsidRDefault="00260E26" w:rsidP="00260E26">
      <w:pPr>
        <w:spacing w:after="0"/>
      </w:pPr>
      <w:r>
        <w:t>Profittsenter</w:t>
      </w:r>
      <w:r>
        <w:tab/>
      </w:r>
      <w:r>
        <w:tab/>
        <w:t>Betegnelse i SAP for kostnadssted eller ansvarssted (nivå 4)</w:t>
      </w:r>
    </w:p>
    <w:p w:rsidR="00260E26" w:rsidRDefault="00260E26" w:rsidP="00260E26">
      <w:pPr>
        <w:spacing w:after="0"/>
      </w:pPr>
      <w:r>
        <w:tab/>
      </w:r>
      <w:r>
        <w:tab/>
      </w:r>
      <w:r>
        <w:tab/>
        <w:t>Unikt forekommende element i økonomimodell i SAP (= RESH-ID)</w:t>
      </w:r>
    </w:p>
    <w:p w:rsidR="00260E26" w:rsidRDefault="00260E26" w:rsidP="00260E26">
      <w:pPr>
        <w:spacing w:after="0"/>
        <w:ind w:left="2124" w:firstLine="6"/>
      </w:pPr>
      <w:r>
        <w:t>Unikt forekommende element i organisasjonsstrukturen (seksjon) som viser organiseringen av virksomhetens:</w:t>
      </w:r>
    </w:p>
    <w:p w:rsidR="00260E26" w:rsidRDefault="00260E26" w:rsidP="00260E26">
      <w:pPr>
        <w:pStyle w:val="Listeavsnitt"/>
        <w:numPr>
          <w:ilvl w:val="0"/>
          <w:numId w:val="1"/>
        </w:numPr>
        <w:spacing w:after="0"/>
      </w:pPr>
      <w:r>
        <w:t>Fullmaktsforhold</w:t>
      </w:r>
    </w:p>
    <w:p w:rsidR="00260E26" w:rsidRDefault="00260E26" w:rsidP="00260E26">
      <w:pPr>
        <w:pStyle w:val="Listeavsnitt"/>
        <w:numPr>
          <w:ilvl w:val="0"/>
          <w:numId w:val="1"/>
        </w:numPr>
        <w:spacing w:after="0"/>
      </w:pPr>
      <w:r>
        <w:t>Disposisjons-/anvisningsmyndighet</w:t>
      </w:r>
    </w:p>
    <w:p w:rsidR="00260E26" w:rsidRDefault="00260E26" w:rsidP="00260E26">
      <w:pPr>
        <w:pStyle w:val="Listeavsnitt"/>
        <w:numPr>
          <w:ilvl w:val="0"/>
          <w:numId w:val="1"/>
        </w:numPr>
        <w:spacing w:after="0"/>
      </w:pPr>
      <w:r>
        <w:lastRenderedPageBreak/>
        <w:t>Budsjett- og kontrollansvar (økonomi, aktivitet, bemanning)</w:t>
      </w:r>
    </w:p>
    <w:p w:rsidR="00260E26" w:rsidRDefault="00260E26" w:rsidP="00260E26">
      <w:pPr>
        <w:pStyle w:val="Listeavsnitt"/>
        <w:numPr>
          <w:ilvl w:val="0"/>
          <w:numId w:val="1"/>
        </w:numPr>
        <w:spacing w:after="0"/>
      </w:pPr>
      <w:r>
        <w:t>Ressurser</w:t>
      </w:r>
    </w:p>
    <w:p w:rsidR="00260E26" w:rsidRDefault="00260E26" w:rsidP="00260E26">
      <w:pPr>
        <w:spacing w:after="0"/>
        <w:ind w:left="2124"/>
      </w:pPr>
      <w:r>
        <w:t>Profittsenter representerer det nivået (nivå 4, eller seksjon) i organisasjon hvor kostnader og inntekter posteres. Profittsenter aggregeres opp i Profittsenter-hierarki: avdeling, klinikk, foretak som matcher foretakets interne organiseringen, slik den er angitt i RESH.</w:t>
      </w:r>
    </w:p>
    <w:p w:rsidR="00260E26" w:rsidRDefault="00260E26" w:rsidP="00260E26">
      <w:pPr>
        <w:spacing w:after="0"/>
        <w:ind w:left="2124"/>
      </w:pPr>
      <w:r>
        <w:t>Et Profittsenter har én leder som gjennom fullmaktstrukturen har fått delegert ansvar for økonomi, aktivitet, bemanning og ressurser</w:t>
      </w:r>
    </w:p>
    <w:p w:rsidR="00260E26" w:rsidRDefault="00260E26" w:rsidP="00260E26">
      <w:pPr>
        <w:spacing w:after="0"/>
      </w:pPr>
    </w:p>
    <w:p w:rsidR="00260E26" w:rsidRDefault="00260E26" w:rsidP="00260E26">
      <w:pPr>
        <w:spacing w:after="0"/>
        <w:ind w:left="2124" w:hanging="2124"/>
      </w:pPr>
      <w:r>
        <w:t>Enhetsregister</w:t>
      </w:r>
      <w:r>
        <w:tab/>
        <w:t>Samlede opplysninger om næringslivet og offentlige etater. Del av Brønnøysund-registeret. Det stilles krav til inndeling og registrering av virksomhetene i Enhetsregisteret</w:t>
      </w:r>
    </w:p>
    <w:p w:rsidR="002B5A3B" w:rsidRDefault="002B5A3B" w:rsidP="00260E26"/>
    <w:p w:rsidR="00260E26" w:rsidRDefault="00260E26" w:rsidP="00260E26">
      <w:r>
        <w:t>Ansvarsplan</w:t>
      </w:r>
      <w:r>
        <w:tab/>
      </w:r>
      <w:r>
        <w:tab/>
        <w:t>Betegnelse for en tabellarisk framstilling av organisasjonsstrukturen</w:t>
      </w:r>
    </w:p>
    <w:p w:rsidR="00260E26" w:rsidRDefault="00260E26" w:rsidP="00260E26">
      <w:r>
        <w:t>Organisasjonskart</w:t>
      </w:r>
      <w:r>
        <w:tab/>
        <w:t>Betegnelse for en grafisk framstilling av organisasjonsstrukturen</w:t>
      </w:r>
    </w:p>
    <w:p w:rsidR="00260E26" w:rsidRDefault="00F14BD8" w:rsidP="00260E26">
      <w:proofErr w:type="spellStart"/>
      <w:r>
        <w:t>Facility</w:t>
      </w:r>
      <w:proofErr w:type="spellEnd"/>
      <w:r>
        <w:t xml:space="preserve"> </w:t>
      </w:r>
      <w:proofErr w:type="spellStart"/>
      <w:r>
        <w:t>Structure</w:t>
      </w:r>
      <w:proofErr w:type="spellEnd"/>
      <w:r>
        <w:tab/>
        <w:t>Helseplattformen sin organisasjonsstruktur</w:t>
      </w:r>
    </w:p>
    <w:p w:rsidR="00260E26" w:rsidRDefault="00260E26" w:rsidP="00260E26"/>
    <w:p w:rsidR="00260E26" w:rsidRDefault="00260E26" w:rsidP="00260E26">
      <w:pPr>
        <w:rPr>
          <w:sz w:val="28"/>
          <w:szCs w:val="28"/>
        </w:rPr>
      </w:pPr>
      <w:r>
        <w:rPr>
          <w:sz w:val="28"/>
          <w:szCs w:val="28"/>
        </w:rPr>
        <w:t>Organisasjonsmodell i Helse Nord-Trøndelag</w:t>
      </w:r>
    </w:p>
    <w:p w:rsidR="00260E26" w:rsidRDefault="00260E26" w:rsidP="00260E26">
      <w:pPr>
        <w:spacing w:after="0"/>
      </w:pPr>
    </w:p>
    <w:p w:rsidR="00260E26" w:rsidRDefault="00260E26" w:rsidP="00260E26">
      <w:pPr>
        <w:spacing w:after="0"/>
      </w:pPr>
      <w:r>
        <w:t>Organisasjonsmodellen for Helse Nord-Trøndelag består av 5 nivå, slik som angitt i modellen nedenfor. PAS-enheter er en del av RESH-strukturen fordi det kreves at alle aktive PAS-enheter har en unik RESH-ID. Kliniske enheter som er representert ved PAS-enheter og ikke kliniske enheter, representert ved nivå 4 skal knyttes til et behandlingssted i RESH-databasen. Behandlingssted er det samme om enheter i Enhetsregister i Brønnøysundregistrene.</w:t>
      </w:r>
    </w:p>
    <w:p w:rsidR="00260E26" w:rsidRDefault="00260E26" w:rsidP="00260E26">
      <w:pPr>
        <w:spacing w:after="0"/>
      </w:pPr>
    </w:p>
    <w:p w:rsidR="00260E26" w:rsidRDefault="00260E26" w:rsidP="00260E26">
      <w:pPr>
        <w:spacing w:after="0"/>
        <w:jc w:val="center"/>
      </w:pPr>
      <w:r>
        <w:rPr>
          <w:noProof/>
          <w:lang w:eastAsia="nb-NO"/>
        </w:rPr>
        <w:drawing>
          <wp:inline distT="0" distB="0" distL="0" distR="0">
            <wp:extent cx="5644515" cy="35255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4515" cy="3525520"/>
                    </a:xfrm>
                    <a:prstGeom prst="rect">
                      <a:avLst/>
                    </a:prstGeom>
                    <a:noFill/>
                    <a:ln>
                      <a:noFill/>
                    </a:ln>
                  </pic:spPr>
                </pic:pic>
              </a:graphicData>
            </a:graphic>
          </wp:inline>
        </w:drawing>
      </w:r>
    </w:p>
    <w:p w:rsidR="00260E26" w:rsidRDefault="00260E26" w:rsidP="00260E26">
      <w:pPr>
        <w:spacing w:after="0"/>
      </w:pPr>
    </w:p>
    <w:p w:rsidR="00260E26" w:rsidRDefault="00260E26" w:rsidP="00260E26"/>
    <w:p w:rsidR="00260E26" w:rsidRDefault="00260E26" w:rsidP="00260E26">
      <w:pPr>
        <w:rPr>
          <w:sz w:val="28"/>
          <w:szCs w:val="28"/>
        </w:rPr>
      </w:pPr>
      <w:r>
        <w:rPr>
          <w:sz w:val="28"/>
          <w:szCs w:val="28"/>
        </w:rPr>
        <w:t>Grunnlagsinformasjon</w:t>
      </w:r>
    </w:p>
    <w:p w:rsidR="00260E26" w:rsidRDefault="00260E26" w:rsidP="00260E26">
      <w:r>
        <w:t>Det er nødvendig å sikre at RESH til enhver tid har korrekt innhold og er i samsvar med eller representerer den gjeldende organisatoriske inndelingen i Helse Nord-Trøndelag. Dette for å i møte komme krav om å vedlikeholde informasjon om våre enheter i den nasjonale RESH-databasen og som grunnlag for oppdatering og vedlikehold av Profittsenter og Profittsenterhierarki i SAP, og eventuelle andre (rand)systemer som bruker RESH-ID. En korrekt avspeiling av vår organisasjon i RESH vil dessuten være viktig for å kunne gjøre best mulige analyser og gi best mulig styringsinformasjon og beslutningsstøtte på alle nivå i foretaket.</w:t>
      </w:r>
    </w:p>
    <w:p w:rsidR="00260E26" w:rsidRDefault="00260E26" w:rsidP="00260E26">
      <w:r>
        <w:t>For å sikre korrekt innhold i RESH-databasen kreves gode prosesser og rutiner for oppretting, endring og sluttføring av enheter. Og det kreves god kommunikasjon om endringer i organiseringen til systemeiere av berørte (rand)systemer og andre interessenter.</w:t>
      </w:r>
    </w:p>
    <w:p w:rsidR="00260E26" w:rsidRDefault="00260E26" w:rsidP="00260E26">
      <w:r>
        <w:t>Med et korrekt innhold i RESH menes at den hierarkiske strukturen er gjennomgående og logisk uten bristepunkter. Det skal alltid være et 1 til 1 forhold mellom enhetene i RESH eller et N til 1 forhold: én underliggende enhet har én overordnet enhet, eller flere underliggende har én overordnet enhet.</w:t>
      </w:r>
    </w:p>
    <w:p w:rsidR="00260E26" w:rsidRDefault="00260E26" w:rsidP="00260E26">
      <w:r>
        <w:t>Det laveste nivå i organisasjons-hierarkiet skal gjenspeile helsehjelpsområdene og klinisk virksomhet. Det er de nivåene der pasientaktivitet skjer eller direkte pasientrelatert aktivitet skjer. Disse skal til enhver tid ha beskrevet tjenestetyper og tjenesteområder ved hjelp av kodeverk for spesialisthelsetjenesten.</w:t>
      </w:r>
    </w:p>
    <w:p w:rsidR="00260E26" w:rsidRDefault="00260E26" w:rsidP="00260E26">
      <w:r>
        <w:t>Hvor mange enheter en klinikk eller avdeling har, er avhengig av hvordan enheten er organisert, samt enhetens behov for styring og rapportering mm på laveste nivå. For slike formål er det nødvendig at strukturen gjenspeiler de reelle ansvars- og fullmaktsforholdene, og ikke brukes til andre formål.</w:t>
      </w:r>
    </w:p>
    <w:p w:rsidR="00260E26" w:rsidRDefault="00260E26" w:rsidP="00260E26">
      <w:r>
        <w:t>Enheter i organisasjonsstruktur som ikke er direkte relatert til pasientbehandling (ikke-kliniske tjenester) skal være en del av RESH og skal tilknyttes ikke-kliniske tjenenester i henhold til dagens kodeverk. Det er viktig slik at også disse enheter kan knyttes til behandlingssted i RESH, som gjenspeiler inndelingen i Enhetsregisteret.</w:t>
      </w:r>
    </w:p>
    <w:p w:rsidR="00260E26" w:rsidRDefault="00260E26" w:rsidP="00260E26"/>
    <w:p w:rsidR="00260E26" w:rsidRDefault="00260E26" w:rsidP="00260E26">
      <w:pPr>
        <w:rPr>
          <w:sz w:val="28"/>
          <w:szCs w:val="28"/>
        </w:rPr>
      </w:pPr>
      <w:r>
        <w:rPr>
          <w:sz w:val="28"/>
          <w:szCs w:val="28"/>
        </w:rPr>
        <w:t>Krav og pålegg fra offentlige myndighetene</w:t>
      </w:r>
    </w:p>
    <w:p w:rsidR="00260E26" w:rsidRDefault="00260E26" w:rsidP="00260E26">
      <w:r>
        <w:t>NPR krever at aktivitetsdata fra foretakene innrapporteres på standardavdelingsnummer (IK44/89), at disse har en RESH-ID og at RESH-id er knyttet mot et behandlingssted. Behandlingssted i denne sammenhengen er en lokalt avgrenset enhet som hovedsakelig driver virksomhet innenfor en bestemt næringsgruppe, som beskrevet i Norsk standard for næringsgruppering. Standarden er først og fremst beregnet for bruk i offisiell norsk statistikk. Men det foreligger også krav til rapportering av ansatte per bedrift. Til denne rapporteringen benyttes Organisasjonsnummer (= bedrift) som er registrert i Enhetsregisteret i Brønnøysundregistrene.</w:t>
      </w:r>
    </w:p>
    <w:p w:rsidR="00260E26" w:rsidRDefault="00260E26" w:rsidP="00260E26">
      <w:r>
        <w:t>Statistisk sentralbyrå (SSB) forvalter definisjon av virksomhetsbegrep og retningslinjer for inndeling av regionale helseforetak og helseforetak i Enhetsregisteret.</w:t>
      </w:r>
    </w:p>
    <w:p w:rsidR="00260E26" w:rsidRDefault="00260E26" w:rsidP="00260E26">
      <w:r>
        <w:t>Det må tas høyde for kravene fra overordnede myndighet og retningslinjer SSB forvalter ved oppretting av nye enheter eller endringer av organisasjonsstruktur. Disse kravene skal gjenspeiles i RESH-registeret.</w:t>
      </w:r>
    </w:p>
    <w:p w:rsidR="00260E26" w:rsidRDefault="00260E26" w:rsidP="00260E26">
      <w:pPr>
        <w:rPr>
          <w:sz w:val="28"/>
          <w:szCs w:val="28"/>
        </w:rPr>
      </w:pPr>
      <w:r>
        <w:rPr>
          <w:sz w:val="28"/>
          <w:szCs w:val="28"/>
        </w:rPr>
        <w:lastRenderedPageBreak/>
        <w:t>Organisasjonskart</w:t>
      </w:r>
    </w:p>
    <w:p w:rsidR="00260E26" w:rsidRDefault="00260E26" w:rsidP="00260E26">
      <w:r>
        <w:t xml:space="preserve">Det overordnede organisasjonskartet (EQS-prosedyre 4424) er basert på vedtatt organisatorisk inndeling i Helse Nord-Trøndelag, f.eks. som et resultat av organisasjonsutviklingsprosesser. RESH-register skal være i tråd med vedtatt organisatorisk inndeling men kan ha en større detaljeringsgrad enn det som vises i organisasjonskartet. Dette gjøres av praktisk hensyn for at regnskap, budsjett, aktivitet og personell kan plasseres på enheter det er logisk og hensiktsmessig i forhold til å gi best mulig </w:t>
      </w:r>
      <w:proofErr w:type="spellStart"/>
      <w:r>
        <w:t>styringsmessig</w:t>
      </w:r>
      <w:proofErr w:type="spellEnd"/>
      <w:r>
        <w:t xml:space="preserve"> oppfølging og beslutningsstøtte.</w:t>
      </w:r>
    </w:p>
    <w:p w:rsidR="00260E26" w:rsidRDefault="00260E26" w:rsidP="00260E26">
      <w:r>
        <w:t>HR-avdelingen har ansvar for oppdateringen av organisasjonskartet og kvalitetssikring av at det overordnede kartet er i tråd med RESH-registeret. Melding om endringer i organisasjonskartet som kommer til HR-avdelingen må alltid kommuniseres med RESH-ansvarlig i foretaket.</w:t>
      </w:r>
    </w:p>
    <w:p w:rsidR="00260E26" w:rsidRDefault="00260E26" w:rsidP="00260E26"/>
    <w:p w:rsidR="00260E26" w:rsidRDefault="00260E26" w:rsidP="00260E26">
      <w:pPr>
        <w:rPr>
          <w:sz w:val="28"/>
          <w:szCs w:val="28"/>
        </w:rPr>
      </w:pPr>
      <w:r>
        <w:rPr>
          <w:sz w:val="28"/>
          <w:szCs w:val="28"/>
        </w:rPr>
        <w:t>Endring av navn på ansvarlig leder</w:t>
      </w:r>
    </w:p>
    <w:p w:rsidR="00260E26" w:rsidRDefault="00260E26" w:rsidP="00260E26">
      <w:r>
        <w:t>Det er viktig at til enhver tid ansvarlig leder for enheten er korrekt i forhold til organisasjonskart, RESH-struktur, SAP osv. Endring av ansvarlig leder er knyttet til tilsetting av lederfunksjoner. De administrative prosedyrer og rutiner rundt dette er tillagt HR-avdelingen. HR-avdelingen informerer RESH-ansvarlige om endringer av ansvarlig leder.</w:t>
      </w:r>
    </w:p>
    <w:p w:rsidR="00260E26" w:rsidRDefault="00260E26" w:rsidP="00260E26"/>
    <w:p w:rsidR="00260E26" w:rsidRDefault="00260E26"/>
    <w:p w:rsidR="00260E26" w:rsidRDefault="00260E26"/>
    <w:sectPr w:rsidR="00260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8173A"/>
    <w:multiLevelType w:val="hybridMultilevel"/>
    <w:tmpl w:val="34D2D730"/>
    <w:lvl w:ilvl="0" w:tplc="E6167F26">
      <w:numFmt w:val="bullet"/>
      <w:lvlText w:val="-"/>
      <w:lvlJc w:val="left"/>
      <w:pPr>
        <w:ind w:left="2490" w:hanging="360"/>
      </w:pPr>
      <w:rPr>
        <w:rFonts w:ascii="Calibri" w:eastAsiaTheme="minorHAnsi" w:hAnsi="Calibri" w:cstheme="minorBidi" w:hint="default"/>
      </w:rPr>
    </w:lvl>
    <w:lvl w:ilvl="1" w:tplc="04140003">
      <w:start w:val="1"/>
      <w:numFmt w:val="bullet"/>
      <w:lvlText w:val="o"/>
      <w:lvlJc w:val="left"/>
      <w:pPr>
        <w:ind w:left="3210" w:hanging="360"/>
      </w:pPr>
      <w:rPr>
        <w:rFonts w:ascii="Courier New" w:hAnsi="Courier New" w:cs="Courier New" w:hint="default"/>
      </w:rPr>
    </w:lvl>
    <w:lvl w:ilvl="2" w:tplc="04140005">
      <w:start w:val="1"/>
      <w:numFmt w:val="bullet"/>
      <w:lvlText w:val=""/>
      <w:lvlJc w:val="left"/>
      <w:pPr>
        <w:ind w:left="3930" w:hanging="360"/>
      </w:pPr>
      <w:rPr>
        <w:rFonts w:ascii="Wingdings" w:hAnsi="Wingdings" w:hint="default"/>
      </w:rPr>
    </w:lvl>
    <w:lvl w:ilvl="3" w:tplc="04140001">
      <w:start w:val="1"/>
      <w:numFmt w:val="bullet"/>
      <w:lvlText w:val=""/>
      <w:lvlJc w:val="left"/>
      <w:pPr>
        <w:ind w:left="4650" w:hanging="360"/>
      </w:pPr>
      <w:rPr>
        <w:rFonts w:ascii="Symbol" w:hAnsi="Symbol" w:hint="default"/>
      </w:rPr>
    </w:lvl>
    <w:lvl w:ilvl="4" w:tplc="04140003">
      <w:start w:val="1"/>
      <w:numFmt w:val="bullet"/>
      <w:lvlText w:val="o"/>
      <w:lvlJc w:val="left"/>
      <w:pPr>
        <w:ind w:left="5370" w:hanging="360"/>
      </w:pPr>
      <w:rPr>
        <w:rFonts w:ascii="Courier New" w:hAnsi="Courier New" w:cs="Courier New" w:hint="default"/>
      </w:rPr>
    </w:lvl>
    <w:lvl w:ilvl="5" w:tplc="04140005">
      <w:start w:val="1"/>
      <w:numFmt w:val="bullet"/>
      <w:lvlText w:val=""/>
      <w:lvlJc w:val="left"/>
      <w:pPr>
        <w:ind w:left="6090" w:hanging="360"/>
      </w:pPr>
      <w:rPr>
        <w:rFonts w:ascii="Wingdings" w:hAnsi="Wingdings" w:hint="default"/>
      </w:rPr>
    </w:lvl>
    <w:lvl w:ilvl="6" w:tplc="04140001">
      <w:start w:val="1"/>
      <w:numFmt w:val="bullet"/>
      <w:lvlText w:val=""/>
      <w:lvlJc w:val="left"/>
      <w:pPr>
        <w:ind w:left="6810" w:hanging="360"/>
      </w:pPr>
      <w:rPr>
        <w:rFonts w:ascii="Symbol" w:hAnsi="Symbol" w:hint="default"/>
      </w:rPr>
    </w:lvl>
    <w:lvl w:ilvl="7" w:tplc="04140003">
      <w:start w:val="1"/>
      <w:numFmt w:val="bullet"/>
      <w:lvlText w:val="o"/>
      <w:lvlJc w:val="left"/>
      <w:pPr>
        <w:ind w:left="7530" w:hanging="360"/>
      </w:pPr>
      <w:rPr>
        <w:rFonts w:ascii="Courier New" w:hAnsi="Courier New" w:cs="Courier New" w:hint="default"/>
      </w:rPr>
    </w:lvl>
    <w:lvl w:ilvl="8" w:tplc="04140005">
      <w:start w:val="1"/>
      <w:numFmt w:val="bullet"/>
      <w:lvlText w:val=""/>
      <w:lvlJc w:val="left"/>
      <w:pPr>
        <w:ind w:left="82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26"/>
    <w:rsid w:val="0005574A"/>
    <w:rsid w:val="000B1A44"/>
    <w:rsid w:val="00260E26"/>
    <w:rsid w:val="002B5A3B"/>
    <w:rsid w:val="002E70A1"/>
    <w:rsid w:val="003C361E"/>
    <w:rsid w:val="0043593A"/>
    <w:rsid w:val="00514468"/>
    <w:rsid w:val="008F0DEF"/>
    <w:rsid w:val="009E1E2B"/>
    <w:rsid w:val="00B43C3A"/>
    <w:rsid w:val="00BB5DB2"/>
    <w:rsid w:val="00BD0E57"/>
    <w:rsid w:val="00E445C4"/>
    <w:rsid w:val="00E7379F"/>
    <w:rsid w:val="00F14BD8"/>
    <w:rsid w:val="00F5671B"/>
    <w:rsid w:val="00FD70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0073"/>
  <w15:chartTrackingRefBased/>
  <w15:docId w15:val="{FA1B95F1-DF1A-4935-A6FC-51E88DE6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60E26"/>
    <w:pPr>
      <w:spacing w:line="256" w:lineRule="auto"/>
      <w:ind w:left="720"/>
      <w:contextualSpacing/>
    </w:pPr>
  </w:style>
  <w:style w:type="character" w:styleId="Hyperkobling">
    <w:name w:val="Hyperlink"/>
    <w:basedOn w:val="Standardskriftforavsnitt"/>
    <w:uiPriority w:val="99"/>
    <w:unhideWhenUsed/>
    <w:rsid w:val="00435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8162">
      <w:bodyDiv w:val="1"/>
      <w:marLeft w:val="0"/>
      <w:marRight w:val="0"/>
      <w:marTop w:val="0"/>
      <w:marBottom w:val="0"/>
      <w:divBdr>
        <w:top w:val="none" w:sz="0" w:space="0" w:color="auto"/>
        <w:left w:val="none" w:sz="0" w:space="0" w:color="auto"/>
        <w:bottom w:val="none" w:sz="0" w:space="0" w:color="auto"/>
        <w:right w:val="none" w:sz="0" w:space="0" w:color="auto"/>
      </w:divBdr>
      <w:divsChild>
        <w:div w:id="356276071">
          <w:marLeft w:val="0"/>
          <w:marRight w:val="0"/>
          <w:marTop w:val="0"/>
          <w:marBottom w:val="0"/>
          <w:divBdr>
            <w:top w:val="none" w:sz="0" w:space="0" w:color="auto"/>
            <w:left w:val="none" w:sz="0" w:space="0" w:color="auto"/>
            <w:bottom w:val="none" w:sz="0" w:space="0" w:color="auto"/>
            <w:right w:val="none" w:sz="0" w:space="0" w:color="auto"/>
          </w:divBdr>
          <w:divsChild>
            <w:div w:id="1366831325">
              <w:marLeft w:val="0"/>
              <w:marRight w:val="0"/>
              <w:marTop w:val="0"/>
              <w:marBottom w:val="0"/>
              <w:divBdr>
                <w:top w:val="none" w:sz="0" w:space="0" w:color="auto"/>
                <w:left w:val="none" w:sz="0" w:space="0" w:color="auto"/>
                <w:bottom w:val="none" w:sz="0" w:space="0" w:color="auto"/>
                <w:right w:val="none" w:sz="0" w:space="0" w:color="auto"/>
              </w:divBdr>
              <w:divsChild>
                <w:div w:id="1452087223">
                  <w:marLeft w:val="0"/>
                  <w:marRight w:val="0"/>
                  <w:marTop w:val="0"/>
                  <w:marBottom w:val="0"/>
                  <w:divBdr>
                    <w:top w:val="none" w:sz="0" w:space="0" w:color="auto"/>
                    <w:left w:val="none" w:sz="0" w:space="0" w:color="auto"/>
                    <w:bottom w:val="none" w:sz="0" w:space="0" w:color="auto"/>
                    <w:right w:val="none" w:sz="0" w:space="0" w:color="auto"/>
                  </w:divBdr>
                  <w:divsChild>
                    <w:div w:id="1892494281">
                      <w:marLeft w:val="0"/>
                      <w:marRight w:val="0"/>
                      <w:marTop w:val="0"/>
                      <w:marBottom w:val="0"/>
                      <w:divBdr>
                        <w:top w:val="none" w:sz="0" w:space="0" w:color="auto"/>
                        <w:left w:val="none" w:sz="0" w:space="0" w:color="auto"/>
                        <w:bottom w:val="none" w:sz="0" w:space="0" w:color="auto"/>
                        <w:right w:val="none" w:sz="0" w:space="0" w:color="auto"/>
                      </w:divBdr>
                      <w:divsChild>
                        <w:div w:id="1756169773">
                          <w:marLeft w:val="0"/>
                          <w:marRight w:val="0"/>
                          <w:marTop w:val="0"/>
                          <w:marBottom w:val="0"/>
                          <w:divBdr>
                            <w:top w:val="none" w:sz="0" w:space="0" w:color="auto"/>
                            <w:left w:val="none" w:sz="0" w:space="0" w:color="auto"/>
                            <w:bottom w:val="none" w:sz="0" w:space="0" w:color="auto"/>
                            <w:right w:val="none" w:sz="0" w:space="0" w:color="auto"/>
                          </w:divBdr>
                          <w:divsChild>
                            <w:div w:id="1549297027">
                              <w:marLeft w:val="0"/>
                              <w:marRight w:val="0"/>
                              <w:marTop w:val="0"/>
                              <w:marBottom w:val="0"/>
                              <w:divBdr>
                                <w:top w:val="none" w:sz="0" w:space="0" w:color="auto"/>
                                <w:left w:val="none" w:sz="0" w:space="0" w:color="auto"/>
                                <w:bottom w:val="none" w:sz="0" w:space="0" w:color="auto"/>
                                <w:right w:val="none" w:sz="0" w:space="0" w:color="auto"/>
                              </w:divBdr>
                              <w:divsChild>
                                <w:div w:id="919753639">
                                  <w:marLeft w:val="0"/>
                                  <w:marRight w:val="0"/>
                                  <w:marTop w:val="0"/>
                                  <w:marBottom w:val="0"/>
                                  <w:divBdr>
                                    <w:top w:val="none" w:sz="0" w:space="0" w:color="auto"/>
                                    <w:left w:val="none" w:sz="0" w:space="0" w:color="auto"/>
                                    <w:bottom w:val="none" w:sz="0" w:space="0" w:color="auto"/>
                                    <w:right w:val="none" w:sz="0" w:space="0" w:color="auto"/>
                                  </w:divBdr>
                                  <w:divsChild>
                                    <w:div w:id="8043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8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hn.no/samhandlingsplattform/grunndata/register-for-enheter-i-spesialisthelsetjenest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6921</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Helse Midt-Norge IT</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Jonkers, Huub</dc:creator>
  <cp:keywords/>
  <dc:description/>
  <cp:lastModifiedBy>Jonkers, Huub</cp:lastModifiedBy>
  <cp:revision>3</cp:revision>
  <dcterms:created xsi:type="dcterms:W3CDTF">2021-08-02T06:43:00Z</dcterms:created>
  <dcterms:modified xsi:type="dcterms:W3CDTF">2021-08-02T06:43:00Z</dcterms:modified>
</cp:coreProperties>
</file>