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72" w:rsidRDefault="00B20839">
      <w:pPr>
        <w:pStyle w:val="Overskrift1"/>
      </w:pPr>
      <w:bookmarkStart w:id="0" w:name="_GoBack"/>
      <w:bookmarkEnd w:id="0"/>
      <w:r>
        <w:rPr>
          <w:sz w:val="40"/>
        </w:rPr>
        <w:t xml:space="preserve">Konsekvenser av endringer i CV </w:t>
      </w:r>
      <w:r w:rsidR="00FB6372">
        <w:rPr>
          <w:sz w:val="40"/>
        </w:rPr>
        <w:t>ved en kontroll i et nivå</w:t>
      </w:r>
      <w:r>
        <w:t>. (revidert 22.05.07</w:t>
      </w:r>
      <w:r w:rsidR="007379D3">
        <w:t>b</w:t>
      </w:r>
      <w:r>
        <w:t>)</w:t>
      </w:r>
    </w:p>
    <w:p w:rsidR="00FB6372" w:rsidRDefault="00FB6372">
      <w:pPr>
        <w:pStyle w:val="Overskrift1"/>
        <w:rPr>
          <w:sz w:val="32"/>
        </w:rPr>
      </w:pPr>
      <w:r>
        <w:rPr>
          <w:sz w:val="32"/>
        </w:rPr>
        <w:t>Hensikten med notatet er å gi en økt ”finger følelse”med kontrollregler basert på ”klinisk” tillat totalfeil - med de to eksemplene WBC og RBC.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szCs w:val="20"/>
        </w:rPr>
      </w:pPr>
    </w:p>
    <w:p w:rsidR="00FB6372" w:rsidRDefault="008D7101">
      <w:r>
        <w:t>KR = kontrollregel</w:t>
      </w:r>
      <w:r>
        <w:tab/>
        <w:t>CV</w:t>
      </w:r>
      <w:r w:rsidR="00FB6372">
        <w:t>a= CV-analytisk</w:t>
      </w:r>
      <w:r w:rsidR="00FB6372">
        <w:tab/>
        <w:t>Tea= Tillatt totalfeil (</w:t>
      </w:r>
      <w:r w:rsidR="00FB6372">
        <w:rPr>
          <w:u w:val="single"/>
        </w:rPr>
        <w:t>T</w:t>
      </w:r>
      <w:r w:rsidR="00FB6372">
        <w:t xml:space="preserve">otal </w:t>
      </w:r>
      <w:r w:rsidR="00FB6372">
        <w:rPr>
          <w:u w:val="single"/>
        </w:rPr>
        <w:t>e</w:t>
      </w:r>
      <w:r w:rsidR="00FB6372">
        <w:t xml:space="preserve">rror </w:t>
      </w:r>
      <w:r w:rsidR="00FB6372">
        <w:rPr>
          <w:u w:val="single"/>
        </w:rPr>
        <w:t>a</w:t>
      </w:r>
      <w:r w:rsidR="00FB6372">
        <w:t>llovable, i % eller som antall s)</w:t>
      </w:r>
      <w:r w:rsidR="00FB6372">
        <w:tab/>
      </w:r>
      <w:r w:rsidR="00FB6372">
        <w:tab/>
      </w:r>
      <w:r w:rsidR="00FB6372">
        <w:tab/>
      </w:r>
      <w:r w:rsidR="00FB6372">
        <w:tab/>
      </w:r>
    </w:p>
    <w:p w:rsidR="00FB6372" w:rsidRDefault="00FB6372">
      <w:r>
        <w:t xml:space="preserve">Ped = </w:t>
      </w:r>
      <w:r>
        <w:rPr>
          <w:u w:val="single"/>
        </w:rPr>
        <w:t>P</w:t>
      </w:r>
      <w:r>
        <w:t xml:space="preserve">robability for </w:t>
      </w:r>
      <w:r>
        <w:rPr>
          <w:u w:val="single"/>
        </w:rPr>
        <w:t>e</w:t>
      </w:r>
      <w:r>
        <w:t xml:space="preserve">rror </w:t>
      </w:r>
      <w:r>
        <w:rPr>
          <w:u w:val="single"/>
        </w:rPr>
        <w:t>d</w:t>
      </w:r>
      <w:r>
        <w:t>etection (sannsynlighet for alarm - når den systematiske feilen blir lik SE,    (0,92=92%))</w:t>
      </w:r>
    </w:p>
    <w:p w:rsidR="00FB6372" w:rsidRDefault="00FB6372">
      <w:r>
        <w:t xml:space="preserve">Pfr =  </w:t>
      </w:r>
      <w:r>
        <w:rPr>
          <w:u w:val="single"/>
        </w:rPr>
        <w:t>P</w:t>
      </w:r>
      <w:r>
        <w:t xml:space="preserve">robability for </w:t>
      </w:r>
      <w:r>
        <w:rPr>
          <w:u w:val="single"/>
        </w:rPr>
        <w:t>f</w:t>
      </w:r>
      <w:r>
        <w:t xml:space="preserve">alse </w:t>
      </w:r>
      <w:r>
        <w:rPr>
          <w:u w:val="single"/>
        </w:rPr>
        <w:t>r</w:t>
      </w:r>
      <w:r>
        <w:t>ejection (sannsynlighet for falsk avvisning – når den systematiske feilen er null  (0,002=0,2%))</w:t>
      </w:r>
    </w:p>
    <w:p w:rsidR="00FB6372" w:rsidRDefault="00FB6372">
      <w:r>
        <w:t>SE =  Kritisk Systematisk feil (Når SE og Tea er regnet om til s(standard avvik) da:   SE = Tea – 1,65 - (systematisk feil=0))</w:t>
      </w:r>
    </w:p>
    <w:p w:rsidR="00FB6372" w:rsidRDefault="00FB6372"/>
    <w:p w:rsidR="00FB6372" w:rsidRDefault="00FB6372">
      <w:pPr>
        <w:pStyle w:val="Brdtekst"/>
        <w:rPr>
          <w:sz w:val="24"/>
        </w:rPr>
      </w:pPr>
      <w:r>
        <w:rPr>
          <w:sz w:val="24"/>
        </w:rPr>
        <w:t xml:space="preserve">Hva kan skje etter at KR er etablert, dvs.  CV% som brukes til å regne ut aksjonsgrensene står fast på en verdi – fjorårets gjennomsnitt? </w:t>
      </w:r>
    </w:p>
    <w:p w:rsidR="00FB6372" w:rsidRDefault="00FB6372">
      <w:pPr>
        <w:pStyle w:val="Brdtekst"/>
        <w:rPr>
          <w:sz w:val="24"/>
        </w:rPr>
      </w:pP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  <w:szCs w:val="20"/>
        </w:rPr>
      </w:pPr>
      <w:r>
        <w:rPr>
          <w:b/>
          <w:bCs/>
          <w:szCs w:val="20"/>
        </w:rPr>
        <w:t>Tabell 1. Effekten på Ped og aksjonsgrensene med varierende KR (Fast CV)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  <w:szCs w:val="20"/>
        </w:rPr>
      </w:pPr>
      <w:r>
        <w:rPr>
          <w:b/>
          <w:bCs/>
          <w:szCs w:val="20"/>
        </w:rPr>
        <w:t>CV=2,8% for WBC og 1,1% for RBC</w:t>
      </w:r>
    </w:p>
    <w:tbl>
      <w:tblPr>
        <w:tblW w:w="104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840"/>
        <w:gridCol w:w="640"/>
        <w:gridCol w:w="780"/>
        <w:gridCol w:w="720"/>
        <w:gridCol w:w="480"/>
        <w:gridCol w:w="780"/>
        <w:gridCol w:w="840"/>
        <w:gridCol w:w="580"/>
        <w:gridCol w:w="860"/>
        <w:gridCol w:w="1391"/>
        <w:gridCol w:w="960"/>
        <w:gridCol w:w="960"/>
      </w:tblGrid>
      <w:tr w:rsidR="00FB6372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Analyse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Nivå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Tea%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Syst.feil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CV%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 som 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 som 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som s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Antall kontr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Aksjons</w:t>
            </w:r>
          </w:p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grense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Ped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0,0109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0,0980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0,3848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0,5821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0,7603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0,8863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0,9561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0,1336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0,9863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0,0141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0,1160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0,4225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0,6196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0,7895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0,9040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0,9644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5,45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3,80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0,035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0,1336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0,9894</w:t>
            </w:r>
          </w:p>
        </w:tc>
      </w:tr>
    </w:tbl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szCs w:val="20"/>
        </w:rPr>
      </w:pPr>
    </w:p>
    <w:p w:rsidR="00FB6372" w:rsidRDefault="00FB6372">
      <w:pPr>
        <w:pStyle w:val="Brdtekst"/>
      </w:pPr>
      <w:r>
        <w:br w:type="page"/>
      </w:r>
      <w:r>
        <w:lastRenderedPageBreak/>
        <w:t>CV% stiger?</w:t>
      </w:r>
    </w:p>
    <w:p w:rsidR="00FB6372" w:rsidRDefault="00FB6372">
      <w:r>
        <w:t>Da brukes mer av feilkvoten til tilfeldige feil og det blir mindre rom for systematiske feil.</w:t>
      </w:r>
    </w:p>
    <w:p w:rsidR="00FB6372" w:rsidRDefault="00FB6372">
      <w:r>
        <w:t>Konsekvens: Sannsynligheten for falske alarmer øker, og sannsynligheten for å oppdage systematiske feil blir mindre.</w:t>
      </w:r>
    </w:p>
    <w:p w:rsidR="00FB6372" w:rsidRDefault="00FB6372"/>
    <w:p w:rsidR="00FB6372" w:rsidRDefault="00FB6372">
      <w:pPr>
        <w:rPr>
          <w:b/>
          <w:bCs/>
        </w:rPr>
      </w:pPr>
      <w:r>
        <w:rPr>
          <w:b/>
          <w:bCs/>
        </w:rPr>
        <w:t>CV% avtar?</w:t>
      </w:r>
    </w:p>
    <w:p w:rsidR="00FB6372" w:rsidRDefault="00FB6372">
      <w:r>
        <w:t>Da brukes mindre av feilkvoten til tilfeldige feil og det blir mer rom for sysematiske feil.</w:t>
      </w:r>
    </w:p>
    <w:p w:rsidR="00FB6372" w:rsidRDefault="00FB6372">
      <w:r>
        <w:t>Konsekvens: Sannsynligheten for falske alamer avtar, og sannsynligheten for å oppdage systematiske feil blir større.</w:t>
      </w:r>
    </w:p>
    <w:p w:rsidR="00FB6372" w:rsidRDefault="00FB6372"/>
    <w:p w:rsidR="00FB6372" w:rsidRDefault="00FB6372">
      <w:r>
        <w:rPr>
          <w:b/>
          <w:bCs/>
        </w:rPr>
        <w:t>Konklusjon:</w:t>
      </w:r>
      <w:r>
        <w:t xml:space="preserve">  </w:t>
      </w:r>
    </w:p>
    <w:p w:rsidR="00FB6372" w:rsidRDefault="00FB6372">
      <w:r>
        <w:t>Vi må følge med utviklingen til CV% og ha en grense for når vi sier at metoden ikke lenger er stabil.</w:t>
      </w:r>
    </w:p>
    <w:p w:rsidR="00FB6372" w:rsidRDefault="00FB6372">
      <w:r>
        <w:t xml:space="preserve">Her vil det utslagsgivende være endringen i forholdet Tea /Cva (dvs Tea som antall s) – ikke bare endringen i Cva . </w:t>
      </w:r>
    </w:p>
    <w:p w:rsidR="00FB6372" w:rsidRDefault="00FB6372"/>
    <w:p w:rsidR="00FB6372" w:rsidRDefault="00FB6372">
      <w:r>
        <w:t xml:space="preserve">Vi må altså ikke bare følge med absoluttverdien i endringen i CV, men også se dette i forhold til endringen av forholdet Tea/Cva. </w:t>
      </w:r>
    </w:p>
    <w:p w:rsidR="00FB6372" w:rsidRDefault="00FB6372"/>
    <w:p w:rsidR="00FB6372" w:rsidRDefault="00FB6372">
      <w:r>
        <w:t xml:space="preserve">Dersom CV endrer seg slik at Tea/Cva endrer </w:t>
      </w:r>
      <w:r w:rsidR="00AB4571">
        <w:t>seg med mer enn 0,5 så vil</w:t>
      </w:r>
      <w:r>
        <w:t xml:space="preserve"> KR (forutsatt en regel basert på et antall s og at bias er 0) endre seg med ca. 0,5 for å gi samme Ped</w:t>
      </w:r>
      <w:r w:rsidR="003279FF">
        <w:t xml:space="preserve"> (se </w:t>
      </w:r>
      <w:r w:rsidR="00AB4571">
        <w:t>tabell</w:t>
      </w:r>
      <w:r w:rsidR="003279FF">
        <w:t>en i vedlegget</w:t>
      </w:r>
      <w:r w:rsidR="00AB4571">
        <w:t>)</w:t>
      </w:r>
      <w:r>
        <w:t>.</w:t>
      </w:r>
    </w:p>
    <w:p w:rsidR="00FB6372" w:rsidRDefault="00FB6372"/>
    <w:p w:rsidR="00FB6372" w:rsidRDefault="00FB6372">
      <w:r>
        <w:t>Dvs. at vi for hver analyse (egentlig for hver verdi av Tea</w:t>
      </w:r>
      <w:r w:rsidR="00AB4571">
        <w:t>/CVa</w:t>
      </w:r>
      <w:r>
        <w:t>)  må fastsette den CV% endringen som medfører</w:t>
      </w:r>
      <w:r w:rsidR="00AB4571">
        <w:t xml:space="preserve"> en uakseptabel endring i Tea/CV</w:t>
      </w:r>
      <w:r>
        <w:t>a.</w:t>
      </w:r>
    </w:p>
    <w:p w:rsidR="00FB6372" w:rsidRDefault="00FB6372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 xml:space="preserve">Formelen for </w:t>
      </w:r>
      <w:r w:rsidR="009720B9">
        <w:rPr>
          <w:b/>
          <w:bCs/>
        </w:rPr>
        <w:t>CVa</w:t>
      </w:r>
      <w:r w:rsidR="00D01FB3">
        <w:rPr>
          <w:b/>
          <w:bCs/>
        </w:rPr>
        <w:t>-stigning</w:t>
      </w:r>
      <w:r>
        <w:rPr>
          <w:b/>
          <w:bCs/>
        </w:rPr>
        <w:t xml:space="preserve"> som gir 0,5 i forskjell til KR blir:  </w:t>
      </w:r>
    </w:p>
    <w:p w:rsidR="00FB6372" w:rsidRDefault="00FB6372">
      <w:pPr>
        <w:rPr>
          <w:b/>
          <w:bCs/>
        </w:rPr>
      </w:pPr>
    </w:p>
    <w:p w:rsidR="00FB6372" w:rsidRDefault="00D01FB3">
      <w:r>
        <w:t>CV-stigning = (CVa*Tea)/(Tea-</w:t>
      </w:r>
      <w:r w:rsidR="00FB6372">
        <w:t>(0,5)*Cva) –</w:t>
      </w:r>
      <w:r>
        <w:t xml:space="preserve"> CVa   [utledet fra (Tea/(CVa</w:t>
      </w:r>
      <w:r w:rsidR="009B5EC4">
        <w:t xml:space="preserve"> </w:t>
      </w:r>
      <w:r>
        <w:t>+ CVstigning)=(Tea/CVa)-</w:t>
      </w:r>
      <w:r w:rsidR="00FB6372">
        <w:t>0,5 ]</w:t>
      </w:r>
    </w:p>
    <w:p w:rsidR="009B5EC4" w:rsidRDefault="009B5EC4" w:rsidP="009B5EC4">
      <w:pPr>
        <w:rPr>
          <w:b/>
          <w:bCs/>
        </w:rPr>
      </w:pPr>
    </w:p>
    <w:p w:rsidR="009B5EC4" w:rsidRDefault="009B5EC4" w:rsidP="009B5EC4">
      <w:r>
        <w:t>CV-minsking = (CVa*Tea)/(Tea+(0,5)*Cva) – CVa   [utledet fra (Tea/(CVa - CVminsking)=(Tea/CVa)-0,5 ]</w:t>
      </w:r>
    </w:p>
    <w:p w:rsidR="009B5EC4" w:rsidRDefault="009B5EC4"/>
    <w:p w:rsidR="009B5EC4" w:rsidRDefault="00FB6372">
      <w:r>
        <w:t xml:space="preserve">Eks, </w:t>
      </w:r>
    </w:p>
    <w:p w:rsidR="008D7101" w:rsidRDefault="00FB6372">
      <w:r>
        <w:t xml:space="preserve">WBC med Cva= </w:t>
      </w:r>
      <w:r w:rsidR="009B5EC4">
        <w:t>2,8%: CV-stigning</w:t>
      </w:r>
      <w:r w:rsidR="00D01FB3">
        <w:t xml:space="preserve"> </w:t>
      </w:r>
      <w:r w:rsidR="009B5EC4">
        <w:t xml:space="preserve">  </w:t>
      </w:r>
      <w:r w:rsidR="00D01FB3">
        <w:t xml:space="preserve">= </w:t>
      </w:r>
      <w:r w:rsidR="00324B77">
        <w:t>[</w:t>
      </w:r>
      <w:r w:rsidR="00D01FB3">
        <w:t>(2,8*15)/(15-(0,5*2,8)</w:t>
      </w:r>
      <w:r w:rsidR="00324B77">
        <w:t>]</w:t>
      </w:r>
      <w:r w:rsidR="008D7101">
        <w:t xml:space="preserve">-2,8=  </w:t>
      </w:r>
      <w:r w:rsidR="00D01FB3">
        <w:t>0,</w:t>
      </w:r>
      <w:r w:rsidR="005B78FB">
        <w:t>29</w:t>
      </w:r>
      <w:r w:rsidR="009B5EC4">
        <w:t xml:space="preserve">%   </w:t>
      </w:r>
    </w:p>
    <w:p w:rsidR="00FB6372" w:rsidRDefault="009B5EC4">
      <w:r>
        <w:t>dvs.</w:t>
      </w:r>
      <w:r w:rsidR="005B78FB">
        <w:t xml:space="preserve">  </w:t>
      </w:r>
      <w:r w:rsidR="008D7101">
        <w:t xml:space="preserve">dersom CV stiger fra 2,8%  til </w:t>
      </w:r>
      <w:r w:rsidR="005B78FB">
        <w:t>3,09</w:t>
      </w:r>
      <w:r w:rsidR="008D7101">
        <w:t>% så må KR minskes med 0,5 for å ha samme Ped.</w:t>
      </w:r>
    </w:p>
    <w:p w:rsidR="008D7101" w:rsidRDefault="009B5EC4" w:rsidP="009B5EC4">
      <w:r>
        <w:t xml:space="preserve">WBC med Cva= 2,8%: CV-minsking = </w:t>
      </w:r>
      <w:r w:rsidR="00324B77">
        <w:t>[</w:t>
      </w:r>
      <w:r>
        <w:t>(2,8*15)/(15+(0,5*2,8)</w:t>
      </w:r>
      <w:r w:rsidR="00324B77">
        <w:t>]</w:t>
      </w:r>
      <w:r w:rsidR="005B78FB">
        <w:t xml:space="preserve">-2,8= -0,24%   </w:t>
      </w:r>
    </w:p>
    <w:p w:rsidR="009B5EC4" w:rsidRDefault="005B78FB" w:rsidP="009B5EC4">
      <w:r>
        <w:t xml:space="preserve">dvs.  </w:t>
      </w:r>
      <w:r w:rsidR="008D7101">
        <w:t xml:space="preserve">dersom CV avtar fra 2,8% til </w:t>
      </w:r>
      <w:r>
        <w:t>2,56</w:t>
      </w:r>
      <w:r w:rsidR="008D7101">
        <w:t>% så må KR økes med 0,5 for å få samme Ped.</w:t>
      </w:r>
    </w:p>
    <w:p w:rsidR="009B5EC4" w:rsidRDefault="009B5EC4"/>
    <w:p w:rsidR="00FB6372" w:rsidRDefault="00FB6372">
      <w:r>
        <w:t>Dette innebærer at en</w:t>
      </w:r>
      <w:r w:rsidR="00D01FB3">
        <w:t xml:space="preserve"> </w:t>
      </w:r>
      <w:r w:rsidR="009B5EC4">
        <w:t>stigning</w:t>
      </w:r>
      <w:r w:rsidR="00D01FB3">
        <w:t xml:space="preserve"> i CV</w:t>
      </w:r>
      <w:r w:rsidR="009B5EC4">
        <w:t>a  p</w:t>
      </w:r>
      <w:r w:rsidR="005B78FB">
        <w:t>å 0,29% fra 2,8% til  3,09</w:t>
      </w:r>
      <w:r w:rsidR="009B5EC4">
        <w:t xml:space="preserve"> eller en minsking på 0.24% fra 2,8% til 2,56% </w:t>
      </w:r>
      <w:r>
        <w:t>vil gi en endring på 0,5s i KR for å gi</w:t>
      </w:r>
      <w:r w:rsidR="00324B77">
        <w:t xml:space="preserve"> samme (tilfredsstillende) Ped,</w:t>
      </w:r>
      <w:r>
        <w:t>mens Pfr selvsagt vil</w:t>
      </w:r>
      <w:r w:rsidR="009B5EC4">
        <w:t xml:space="preserve"> øke når KR avtar</w:t>
      </w:r>
      <w:r>
        <w:t>.</w:t>
      </w:r>
    </w:p>
    <w:p w:rsidR="00FB6372" w:rsidRDefault="00FB6372"/>
    <w:p w:rsidR="00FB6372" w:rsidRDefault="00FB6372">
      <w:pPr>
        <w:rPr>
          <w:b/>
          <w:bCs/>
        </w:rPr>
      </w:pPr>
    </w:p>
    <w:p w:rsidR="00FB6372" w:rsidRDefault="00FB6372">
      <w:pPr>
        <w:rPr>
          <w:b/>
          <w:bCs/>
        </w:rPr>
      </w:pPr>
      <w:r>
        <w:rPr>
          <w:b/>
          <w:bCs/>
        </w:rPr>
        <w:t>Tabell 2.  Konsekvensene for KR av en CV-endring som gir +- 0,5 endring i Tea/Cv  for å holde Ped  rundt 0,9:</w:t>
      </w:r>
    </w:p>
    <w:p w:rsidR="00FB6372" w:rsidRDefault="00FB6372">
      <w:pPr>
        <w:rPr>
          <w:b/>
          <w:bCs/>
        </w:rPr>
      </w:pPr>
    </w:p>
    <w:tbl>
      <w:tblPr>
        <w:tblW w:w="80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776"/>
        <w:gridCol w:w="576"/>
        <w:gridCol w:w="701"/>
        <w:gridCol w:w="656"/>
        <w:gridCol w:w="456"/>
        <w:gridCol w:w="716"/>
        <w:gridCol w:w="776"/>
        <w:gridCol w:w="501"/>
        <w:gridCol w:w="796"/>
        <w:gridCol w:w="896"/>
        <w:gridCol w:w="896"/>
      </w:tblGrid>
      <w:tr w:rsidR="00FB6372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Analyse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Nivå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Syst.feil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 som 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 som 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som 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Antall kontr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Pfr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Ped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9A4BA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FB6372">
              <w:rPr>
                <w:rFonts w:ascii="Arial" w:hAnsi="Arial" w:cs="Arial"/>
                <w:sz w:val="20"/>
                <w:lang w:val="en-GB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0,8863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2,5</w:t>
            </w:r>
            <w:r w:rsidR="009A4BA5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</w:t>
            </w:r>
            <w:r w:rsidR="009A4BA5">
              <w:rPr>
                <w:rFonts w:ascii="Arial" w:hAnsi="Arial" w:cs="Arial"/>
                <w:sz w:val="20"/>
                <w:lang w:val="en-GB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4,2</w:t>
            </w:r>
            <w:r w:rsidR="009A4BA5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0,8</w:t>
            </w:r>
            <w:r w:rsidR="009A4BA5">
              <w:rPr>
                <w:rFonts w:ascii="Arial" w:hAnsi="Arial" w:cs="Arial"/>
                <w:sz w:val="20"/>
                <w:lang w:val="en-GB"/>
              </w:rPr>
              <w:t>867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</w:t>
            </w:r>
            <w:r w:rsidR="005B78FB">
              <w:rPr>
                <w:rFonts w:ascii="Arial" w:hAnsi="Arial" w:cs="Arial"/>
                <w:sz w:val="20"/>
                <w:lang w:val="en-GB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9A4BA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3,2</w:t>
            </w:r>
            <w:r w:rsidR="009A4BA5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9A4BA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0,8863</w:t>
            </w:r>
          </w:p>
        </w:tc>
      </w:tr>
    </w:tbl>
    <w:p w:rsidR="00FB6372" w:rsidRDefault="00FB6372"/>
    <w:p w:rsidR="00FB6372" w:rsidRDefault="00FB6372">
      <w:r>
        <w:t>Vi ser at konsekvensene her blir at når CV går så mye opp at Tea/Cva endrer seg med 0,5 så må vi ha en ny kontollregel på +0,5s for å holde samme Ped.</w:t>
      </w:r>
    </w:p>
    <w:p w:rsidR="00FB6372" w:rsidRDefault="00FB6372"/>
    <w:p w:rsidR="00FB6372" w:rsidRDefault="00FB6372">
      <w:pPr>
        <w:rPr>
          <w:b/>
          <w:bCs/>
        </w:rPr>
      </w:pPr>
      <w:r>
        <w:rPr>
          <w:b/>
          <w:bCs/>
        </w:rPr>
        <w:t>Hva betyr så dette i praksis?</w:t>
      </w:r>
    </w:p>
    <w:p w:rsidR="00FB6372" w:rsidRDefault="00FB6372">
      <w:r>
        <w:t>Vi må for hver analyse (egentlig for hver verdi av Tea)  fastsette den CV% endringen som medfører en uakseptabel endring i Tea/Cva.</w:t>
      </w:r>
    </w:p>
    <w:p w:rsidR="00FB6372" w:rsidRDefault="00FB6372">
      <w:r>
        <w:t>Hva er så en uakseptabel enndring i Tea/Cva?</w:t>
      </w:r>
    </w:p>
    <w:p w:rsidR="00FB6372" w:rsidRDefault="00FB6372">
      <w:r>
        <w:t>Det blir en beregning av hva dette i praksis får for konsekvenser for endringer av Ped og Pfr (samt endringene i aksjonsgrensene?).</w:t>
      </w:r>
    </w:p>
    <w:p w:rsidR="00FB6372" w:rsidRDefault="00FB6372">
      <w:r>
        <w:t>Deretter blir det  en risikovurdering av hvilke endringer i aksjonsgrensene en vil/kan  akseptere.</w:t>
      </w:r>
    </w:p>
    <w:p w:rsidR="00FB6372" w:rsidRDefault="00FB6372"/>
    <w:p w:rsidR="00FB6372" w:rsidRDefault="00FB6372"/>
    <w:p w:rsidR="00FB6372" w:rsidRDefault="00FB6372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Tabell 3.</w:t>
      </w:r>
      <w:r>
        <w:t xml:space="preserve"> </w:t>
      </w:r>
      <w:r>
        <w:rPr>
          <w:b/>
          <w:bCs/>
        </w:rPr>
        <w:t xml:space="preserve">For å holde en </w:t>
      </w:r>
      <w:r>
        <w:rPr>
          <w:b/>
          <w:bCs/>
          <w:shd w:val="clear" w:color="auto" w:fill="FFFF00"/>
        </w:rPr>
        <w:t>fast god Ped på &gt;0,90</w:t>
      </w:r>
      <w:r>
        <w:rPr>
          <w:b/>
          <w:bCs/>
        </w:rPr>
        <w:t xml:space="preserve"> må KR justeres etter CV.</w:t>
      </w:r>
    </w:p>
    <w:p w:rsidR="00FB6372" w:rsidRDefault="00FB6372">
      <w:pPr>
        <w:rPr>
          <w:b/>
          <w:bCs/>
        </w:rPr>
      </w:pPr>
      <w:r>
        <w:rPr>
          <w:b/>
          <w:bCs/>
        </w:rPr>
        <w:t>Når Cv stiger blir aksjonsgrensene gradvis mindre samtidig som Pfr fort blir uakseptabel høy.</w:t>
      </w:r>
    </w:p>
    <w:p w:rsidR="00FB6372" w:rsidRDefault="00FB6372">
      <w:r>
        <w:t xml:space="preserve"> </w:t>
      </w:r>
    </w:p>
    <w:tbl>
      <w:tblPr>
        <w:tblW w:w="8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776"/>
        <w:gridCol w:w="576"/>
        <w:gridCol w:w="701"/>
        <w:gridCol w:w="656"/>
        <w:gridCol w:w="416"/>
        <w:gridCol w:w="716"/>
        <w:gridCol w:w="776"/>
        <w:gridCol w:w="501"/>
        <w:gridCol w:w="796"/>
        <w:gridCol w:w="956"/>
        <w:gridCol w:w="896"/>
        <w:gridCol w:w="896"/>
      </w:tblGrid>
      <w:tr w:rsidR="00FB6372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Analyse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Nivå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Syst.feil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 som 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 som 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som 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Antall kontr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Aksjons</w:t>
            </w:r>
          </w:p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grense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Ped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0,9058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0,9048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0,9044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0,9005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0,9071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0,9210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0,9102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0,103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0,4237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0,9051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0,9040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0,9039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0,9040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0,9001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0,9067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0,9045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0,9091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1,562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3,84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2,19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0,030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0,3681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0,9029</w:t>
            </w:r>
          </w:p>
        </w:tc>
      </w:tr>
    </w:tbl>
    <w:p w:rsidR="00FB6372" w:rsidRDefault="00FB6372"/>
    <w:p w:rsidR="00FB6372" w:rsidRDefault="00FB6372"/>
    <w:p w:rsidR="00FB6372" w:rsidRDefault="00FB6372">
      <w:r>
        <w:t xml:space="preserve">Vi ser at allerede etter at CV har økt til 3,28 så har Tea/Cva minket til 4,57  og medført at KR blir 1,6s  og Pfr blitt 0,1096 som er alt for høyt, </w:t>
      </w:r>
      <w:r w:rsidR="009720B9">
        <w:t xml:space="preserve">for å få </w:t>
      </w:r>
      <w:r>
        <w:t>Ped  tilfredsstillende</w:t>
      </w:r>
      <w:r w:rsidR="009720B9">
        <w:t xml:space="preserve"> høy </w:t>
      </w:r>
      <w:r>
        <w:t xml:space="preserve"> =0,9071 .</w:t>
      </w:r>
    </w:p>
    <w:p w:rsidR="00FB6372" w:rsidRDefault="00FB6372">
      <w:r>
        <w:br w:type="page"/>
        <w:t>Mest aktuelle tilfelle, CV endrer seg etter at KR er beregnet og lagt inn i QM:</w:t>
      </w:r>
    </w:p>
    <w:p w:rsidR="00FB6372" w:rsidRDefault="00FB6372"/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  <w:szCs w:val="20"/>
        </w:rPr>
      </w:pPr>
      <w:r>
        <w:rPr>
          <w:b/>
          <w:bCs/>
          <w:szCs w:val="20"/>
        </w:rPr>
        <w:t>Tabell 4. Størrelsen på  KR, Ped og Pfr vi i praksis operer med når CV endrer seg etter at CV og KR er fastlagt (dvs.  aksjonsgrensen er fast, basert på fjorårets CV).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szCs w:val="20"/>
        </w:rPr>
      </w:pPr>
      <w:r>
        <w:rPr>
          <w:szCs w:val="20"/>
        </w:rPr>
        <w:t>Dersom CV endrer seg i stepp på x vil vi få følgende endringer i Ped og Pfr og i praksis ha en KR som under kolonnen Kregel: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szCs w:val="20"/>
        </w:rPr>
      </w:pPr>
      <w:r>
        <w:rPr>
          <w:szCs w:val="20"/>
        </w:rPr>
        <w:t>for WBC  er fast CV=2,8 og fast KR=2,4 g</w:t>
      </w:r>
      <w:r w:rsidR="009720B9">
        <w:rPr>
          <w:szCs w:val="20"/>
        </w:rPr>
        <w:t>ir en aksjonsgrense på +-</w:t>
      </w:r>
      <w:r>
        <w:rPr>
          <w:szCs w:val="20"/>
        </w:rPr>
        <w:t xml:space="preserve"> 0,216, stepp +- 0,24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szCs w:val="20"/>
        </w:rPr>
      </w:pPr>
      <w:r>
        <w:rPr>
          <w:szCs w:val="20"/>
        </w:rPr>
        <w:t>for RBC er fast CV 1,1 og fast KR=2,5 gir en aksjonsgrense +- 0,059, stepp +- 0,0923</w:t>
      </w:r>
    </w:p>
    <w:tbl>
      <w:tblPr>
        <w:tblW w:w="104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792"/>
        <w:gridCol w:w="592"/>
        <w:gridCol w:w="732"/>
        <w:gridCol w:w="672"/>
        <w:gridCol w:w="432"/>
        <w:gridCol w:w="732"/>
        <w:gridCol w:w="792"/>
        <w:gridCol w:w="532"/>
        <w:gridCol w:w="812"/>
        <w:gridCol w:w="972"/>
        <w:gridCol w:w="972"/>
        <w:gridCol w:w="912"/>
        <w:gridCol w:w="912"/>
      </w:tblGrid>
      <w:tr w:rsidR="00FB6372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Nivå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Tea%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Syst.feil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CV%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 som 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 som 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som 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Antall kontr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Aksjons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#s i aksjgr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Pfr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Ped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0,2160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0,9723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0,2137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0,9462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0,2157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0,9044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0,2147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0,8609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0,2211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0,7948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0,2147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0,7616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0,2173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0,7052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0,2183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1,68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0,0891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0,6555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0,9716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0,9457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0,9040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0,8604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0,8214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0,7604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0,7033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1,562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3,84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1,76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0,0719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0,6527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</w:tr>
    </w:tbl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szCs w:val="20"/>
          <w:lang w:val="en-GB"/>
        </w:rPr>
      </w:pPr>
    </w:p>
    <w:p w:rsidR="00FB6372" w:rsidRDefault="00FB6372"/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lang w:val="en-GB"/>
        </w:rPr>
      </w:pPr>
      <w:r>
        <w:rPr>
          <w:lang w:val="en-GB"/>
        </w:rPr>
        <w:br w:type="page"/>
      </w:r>
    </w:p>
    <w:p w:rsidR="00FB6372" w:rsidRDefault="00FB6372">
      <w:pPr>
        <w:rPr>
          <w:b/>
          <w:bCs/>
        </w:rPr>
      </w:pPr>
      <w:r>
        <w:rPr>
          <w:b/>
          <w:bCs/>
        </w:rPr>
        <w:t>Tabell 5. Ped når kontrollreglen holdes fast på 3, men CV og aksjonsgrensene endres etter endringene i CV:</w:t>
      </w:r>
    </w:p>
    <w:p w:rsidR="00FB6372" w:rsidRDefault="00FB6372"/>
    <w:tbl>
      <w:tblPr>
        <w:tblW w:w="98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808"/>
        <w:gridCol w:w="608"/>
        <w:gridCol w:w="748"/>
        <w:gridCol w:w="688"/>
        <w:gridCol w:w="448"/>
        <w:gridCol w:w="748"/>
        <w:gridCol w:w="808"/>
        <w:gridCol w:w="548"/>
        <w:gridCol w:w="828"/>
        <w:gridCol w:w="1359"/>
        <w:gridCol w:w="928"/>
        <w:gridCol w:w="928"/>
      </w:tblGrid>
      <w:tr w:rsidR="00FB6372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Nivå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Tea%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Syst.feil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CV%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 som s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 som 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som s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Antall kontr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Aksjons</w:t>
            </w:r>
          </w:p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grense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Pfr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Ped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0,9653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0,8867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0,7603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0,6119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0,4694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0,3488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0,2544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0,385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0,1841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0,9716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0,9039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0,7895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0,6489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0,5083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1,377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0,3850</w:t>
            </w:r>
          </w:p>
        </w:tc>
      </w:tr>
      <w:tr w:rsidR="00FB63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0,2856</w:t>
            </w:r>
          </w:p>
        </w:tc>
      </w:tr>
      <w:tr w:rsidR="00FB63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1,562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3,84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2,19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0,101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FB6372" w:rsidRDefault="00FB63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0,2097</w:t>
            </w:r>
          </w:p>
        </w:tc>
      </w:tr>
    </w:tbl>
    <w:p w:rsidR="00FB6372" w:rsidRDefault="00FB6372"/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szCs w:val="20"/>
        </w:rPr>
      </w:pP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  <w:szCs w:val="20"/>
        </w:rPr>
      </w:pPr>
      <w:r>
        <w:rPr>
          <w:b/>
          <w:bCs/>
          <w:szCs w:val="20"/>
        </w:rPr>
        <w:t>Konklusjon</w:t>
      </w:r>
    </w:p>
    <w:p w:rsidR="00FB6372" w:rsidRDefault="00FB6372">
      <w:r>
        <w:t xml:space="preserve">Vi </w:t>
      </w:r>
      <w:r w:rsidR="00CC3EB5">
        <w:t>må lage en tabell</w:t>
      </w:r>
      <w:r>
        <w:t xml:space="preserve"> for hver analyse som viser hvor stor endring i </w:t>
      </w:r>
      <w:r>
        <w:rPr>
          <w:b/>
          <w:bCs/>
        </w:rPr>
        <w:t xml:space="preserve">stabil </w:t>
      </w:r>
      <w:r>
        <w:t>CV% vi kan tåle (i praksis en stigning) før vi må beregne en ny konrollregel.</w:t>
      </w:r>
    </w:p>
    <w:p w:rsidR="00FB6372" w:rsidRDefault="00FB6372">
      <w:r>
        <w:t>NB! Når vi har regnet ut årets stabile CV% for en analyse, trenger vi i praksis  bare et tall for hver analyse.</w:t>
      </w:r>
    </w:p>
    <w:p w:rsidR="00FB6372" w:rsidRDefault="00FB6372">
      <w:r>
        <w:t>Denne må vi sjekke regelmessig, for eksempel en gang i måneden (eller få en alarm).</w:t>
      </w:r>
    </w:p>
    <w:p w:rsidR="00FB6372" w:rsidRDefault="00B20839">
      <w:pPr>
        <w:pStyle w:val="xl27"/>
        <w:pBdr>
          <w:bottom w:val="none" w:sz="0" w:space="0" w:color="auto"/>
        </w:pBdr>
        <w:spacing w:before="0" w:beforeAutospacing="0" w:after="0" w:afterAutospacing="0"/>
        <w:rPr>
          <w:szCs w:val="20"/>
        </w:rPr>
      </w:pPr>
      <w:r>
        <w:rPr>
          <w:szCs w:val="20"/>
        </w:rPr>
        <w:t xml:space="preserve"> 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</w:pPr>
      <w:r>
        <w:t>Eksempel: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</w:pPr>
      <w:r>
        <w:t xml:space="preserve">Dersom fjorårets stabile CV for WBC er 2,8% må vi vurdere ny kontrollregel dersom den stabile CV% til WBC endrer seg </w:t>
      </w:r>
    </w:p>
    <w:p w:rsidR="00FB6372" w:rsidRDefault="009A4BA5">
      <w:pPr>
        <w:pStyle w:val="xl27"/>
        <w:pBdr>
          <w:bottom w:val="none" w:sz="0" w:space="0" w:color="auto"/>
        </w:pBdr>
        <w:spacing w:before="0" w:beforeAutospacing="0" w:after="0" w:afterAutospacing="0"/>
      </w:pPr>
      <w:r>
        <w:t>til over 2,8+ 0,29</w:t>
      </w:r>
      <w:r w:rsidR="00B20839">
        <w:t xml:space="preserve"> = 3,09</w:t>
      </w:r>
      <w:r w:rsidR="00FB6372">
        <w:t xml:space="preserve">. Dette representerer bare </w:t>
      </w:r>
      <w:r w:rsidR="00B20839">
        <w:t>10</w:t>
      </w:r>
      <w:r w:rsidR="00FB6372">
        <w:t xml:space="preserve"> % stigning i stabil CV</w:t>
      </w:r>
      <w:r w:rsidR="00B20839">
        <w:t xml:space="preserve"> (0,29 er 10% av 2,8)</w:t>
      </w:r>
      <w:r w:rsidR="00FB6372">
        <w:t>!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</w:pPr>
      <w:r>
        <w:t xml:space="preserve">For CV=2,8 og KR 2,5 er Ped=0,8863 </w:t>
      </w:r>
    </w:p>
    <w:p w:rsidR="00FB6372" w:rsidRDefault="00B20839">
      <w:pPr>
        <w:pStyle w:val="xl27"/>
        <w:pBdr>
          <w:bottom w:val="none" w:sz="0" w:space="0" w:color="auto"/>
        </w:pBdr>
        <w:spacing w:before="0" w:beforeAutospacing="0" w:after="0" w:afterAutospacing="0"/>
      </w:pPr>
      <w:r>
        <w:t>For CV=3,09 og KR=2,5 er Ped=0,7594</w:t>
      </w:r>
      <w:r w:rsidR="00FB6372">
        <w:t>.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  <w:sz w:val="40"/>
        </w:rPr>
      </w:pPr>
      <w:r>
        <w:rPr>
          <w:b/>
          <w:bCs/>
          <w:sz w:val="40"/>
        </w:rPr>
        <w:br w:type="page"/>
        <w:t>Foreløpig konklusjon/anbefaling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</w:rPr>
      </w:pP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Krav til Ped og Pfr når bias (systematisk feil) er lik (og null) for 2 kontroller hvor en er i høyt nivå og en i lavt nivå: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</w:rPr>
      </w:pP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1. Samlet Ped &gt;0,90 (0,88 kan tillates untaksvis dersom den ene kontrollregelen er nede i 2,5s)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ind w:left="2832" w:hanging="2832"/>
        <w:rPr>
          <w:b/>
          <w:bCs/>
          <w:sz w:val="28"/>
        </w:rPr>
      </w:pPr>
      <w:r>
        <w:rPr>
          <w:b/>
          <w:bCs/>
          <w:sz w:val="28"/>
        </w:rPr>
        <w:t xml:space="preserve">2. Samlet Pfr &lt;0,015 </w:t>
      </w:r>
      <w:r>
        <w:rPr>
          <w:b/>
          <w:bCs/>
          <w:sz w:val="28"/>
        </w:rPr>
        <w:tab/>
        <w:t>( dvs. tillater vi KR på 2,5s på den ene kontrollen (som gir Pfr=0,0125) vil vi</w:t>
      </w:r>
      <w:r w:rsidR="00AB4571">
        <w:rPr>
          <w:b/>
          <w:bCs/>
          <w:sz w:val="28"/>
        </w:rPr>
        <w:t xml:space="preserve"> </w:t>
      </w:r>
      <w:r>
        <w:rPr>
          <w:b/>
          <w:bCs/>
          <w:sz w:val="28"/>
        </w:rPr>
        <w:t>måtte ha en KR  -på minst 3s på den andre kontrollen (som gir Pfr=0,0028) noe som gir en samlet Pfr=0,0153)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</w:rPr>
      </w:pPr>
      <w:r>
        <w:rPr>
          <w:b/>
          <w:bCs/>
          <w:sz w:val="28"/>
        </w:rPr>
        <w:t>3. Enkeltvis Ped &gt; 0,60 (det medfører at den andre kontrollen må gi Ped &gt; 0,75 for å gi en samlet Ped &gt; 0,90)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</w:rPr>
      </w:pP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</w:rPr>
      </w:pP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I praksis er det lite å vinne </w:t>
      </w:r>
      <w:r w:rsidR="00AB4571">
        <w:rPr>
          <w:b/>
          <w:bCs/>
        </w:rPr>
        <w:t xml:space="preserve">mhp. Pfr </w:t>
      </w:r>
      <w:r>
        <w:rPr>
          <w:b/>
          <w:bCs/>
        </w:rPr>
        <w:t>på å sette KR større enn 4s, bl.a.  siden vi allerede der har en Pfr = 0,000063 (altså 6 av 100 000 kontroller forventes å kunne være uten</w:t>
      </w:r>
      <w:r w:rsidR="00AB4571">
        <w:rPr>
          <w:b/>
          <w:bCs/>
        </w:rPr>
        <w:t xml:space="preserve">for 4s uten at det er noe galt). Det kan likevel være gunstig å velge  KR betydelig større enn 4 for å få videst mulig aksjongrenser. Dette må vi ta stilling til. </w:t>
      </w:r>
      <w:r w:rsidR="00BF6C1F">
        <w:rPr>
          <w:b/>
          <w:bCs/>
        </w:rPr>
        <w:t xml:space="preserve">En mulighet er der det er rom for det legger </w:t>
      </w:r>
      <w:r w:rsidR="00CC3EB5">
        <w:rPr>
          <w:b/>
          <w:bCs/>
        </w:rPr>
        <w:t xml:space="preserve">det så høyt som mulig, men legger </w:t>
      </w:r>
      <w:r w:rsidR="00BF6C1F">
        <w:rPr>
          <w:b/>
          <w:bCs/>
        </w:rPr>
        <w:t>inn en buffer på mulighet for en stigning i stabil CVa på en viss % .</w:t>
      </w:r>
      <w:r w:rsidR="00CC3EB5">
        <w:rPr>
          <w:b/>
          <w:bCs/>
        </w:rPr>
        <w:t xml:space="preserve"> I malen i vedlegget er det lagt inn en kolonne som viser konsekvensen av at CVa øker med 40%.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</w:rPr>
      </w:pP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2,5s på begge kontrollene er ikke ”mulig” etter </w:t>
      </w:r>
      <w:r w:rsidR="00AB4571">
        <w:rPr>
          <w:b/>
          <w:bCs/>
        </w:rPr>
        <w:t>kravene</w:t>
      </w:r>
      <w:r>
        <w:rPr>
          <w:b/>
          <w:bCs/>
        </w:rPr>
        <w:t xml:space="preserve"> ovenfor siden vi da får en Ped=0,025 altså 2,5% falske alarmer (1 av 40 kjøringer vil da gi falsk alarm). 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</w:rPr>
      </w:pP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</w:rPr>
      </w:pPr>
      <w:r>
        <w:rPr>
          <w:b/>
          <w:bCs/>
        </w:rPr>
        <w:t>Dette krever at en regelmessig holder stabil CV% under overvåking slik at en reagerer dersom stabil CV% endrer seg utover angitte grenser (i praksis blir Ped og Pfr dårligere når stabil CV% øker og bedre når stabil CV% avtar).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</w:rPr>
      </w:pP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Dersom man bare bruker en kontroll: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1. Ped &gt;0,90 (0,88 kan tillates untaksvis dersom den ene kontrollregelen er nede i 2,5s)</w:t>
      </w:r>
    </w:p>
    <w:p w:rsidR="00FB6372" w:rsidRDefault="00FB6372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2. Pfr &lt;0,015</w:t>
      </w:r>
    </w:p>
    <w:p w:rsidR="00BF6C1F" w:rsidRDefault="00BF6C1F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  <w:sz w:val="28"/>
        </w:rPr>
      </w:pPr>
    </w:p>
    <w:p w:rsidR="00CC3EB5" w:rsidRDefault="00295185">
      <w:pPr>
        <w:pStyle w:val="xl27"/>
        <w:pBdr>
          <w:bottom w:val="none" w:sz="0" w:space="0" w:color="auto"/>
        </w:pBdr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 xml:space="preserve">Vi må utarbeide regler for </w:t>
      </w:r>
      <w:r w:rsidR="00CC3EB5">
        <w:rPr>
          <w:b/>
          <w:bCs/>
          <w:sz w:val="28"/>
        </w:rPr>
        <w:t xml:space="preserve">hvor mye vi skal tåle av </w:t>
      </w:r>
      <w:r>
        <w:rPr>
          <w:b/>
          <w:bCs/>
          <w:sz w:val="28"/>
        </w:rPr>
        <w:t xml:space="preserve">1) uønskede variasjoner som ikke medfører ”stopp”, 2) </w:t>
      </w:r>
      <w:r w:rsidR="00CC3EB5">
        <w:rPr>
          <w:b/>
          <w:bCs/>
          <w:sz w:val="28"/>
        </w:rPr>
        <w:t xml:space="preserve">endringer i </w:t>
      </w:r>
      <w:r>
        <w:rPr>
          <w:b/>
          <w:bCs/>
          <w:sz w:val="28"/>
        </w:rPr>
        <w:t xml:space="preserve">stabil </w:t>
      </w:r>
      <w:r w:rsidR="00CC3EB5">
        <w:rPr>
          <w:b/>
          <w:bCs/>
          <w:sz w:val="28"/>
        </w:rPr>
        <w:t xml:space="preserve">CVa før vi beregner ny kontrollregel og </w:t>
      </w:r>
      <w:r>
        <w:rPr>
          <w:b/>
          <w:bCs/>
          <w:sz w:val="28"/>
        </w:rPr>
        <w:t xml:space="preserve">3) </w:t>
      </w:r>
      <w:r w:rsidR="00CC3EB5">
        <w:rPr>
          <w:b/>
          <w:bCs/>
          <w:sz w:val="28"/>
        </w:rPr>
        <w:t>hvordan vi skal takle endringer i gjennomsnittet</w:t>
      </w:r>
      <w:r>
        <w:rPr>
          <w:b/>
          <w:bCs/>
          <w:sz w:val="28"/>
        </w:rPr>
        <w:t>.</w:t>
      </w:r>
    </w:p>
    <w:p w:rsidR="00BF6C1F" w:rsidRDefault="00BF6C1F" w:rsidP="00BF6C1F">
      <w:pPr>
        <w:pStyle w:val="xl27"/>
        <w:pBdr>
          <w:bottom w:val="none" w:sz="0" w:space="0" w:color="auto"/>
        </w:pBdr>
        <w:spacing w:before="0" w:beforeAutospacing="0" w:after="0" w:afterAutospacing="0"/>
        <w:ind w:left="708" w:hanging="708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3279FF">
        <w:rPr>
          <w:b/>
          <w:bCs/>
          <w:sz w:val="28"/>
        </w:rPr>
        <w:t>Vedlegg.  Beregningsskjema for kontrollregel med tabell for:</w:t>
      </w:r>
      <w:r w:rsidR="000A4D1C">
        <w:rPr>
          <w:b/>
          <w:bCs/>
          <w:sz w:val="28"/>
        </w:rPr>
        <w:t xml:space="preserve"> Sannsynlighet for alarm når N = 1</w:t>
      </w:r>
    </w:p>
    <w:p w:rsidR="006C7379" w:rsidRDefault="00D762BF" w:rsidP="00BF6C1F">
      <w:pPr>
        <w:pStyle w:val="xl27"/>
        <w:pBdr>
          <w:bottom w:val="none" w:sz="0" w:space="0" w:color="auto"/>
        </w:pBdr>
        <w:spacing w:before="0" w:beforeAutospacing="0" w:after="0" w:afterAutospacing="0"/>
        <w:ind w:left="708" w:hanging="708"/>
        <w:rPr>
          <w:b/>
          <w:bCs/>
        </w:rPr>
      </w:pPr>
      <w:r w:rsidRPr="00A37340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4.5pt;height:457.5pt">
            <v:imagedata r:id="rId6" o:title=""/>
          </v:shape>
        </w:pict>
      </w:r>
    </w:p>
    <w:sectPr w:rsidR="006C7379">
      <w:footerReference w:type="default" r:id="rId7"/>
      <w:pgSz w:w="16838" w:h="11906" w:orient="landscape" w:code="9"/>
      <w:pgMar w:top="993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72" w:rsidRDefault="00FB6372">
      <w:r>
        <w:separator/>
      </w:r>
    </w:p>
  </w:endnote>
  <w:endnote w:type="continuationSeparator" w:id="0">
    <w:p w:rsidR="00FB6372" w:rsidRDefault="00FB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2B" w:rsidRDefault="00C2462B">
    <w:pPr>
      <w:pStyle w:val="Bunntekst"/>
    </w:pPr>
    <w:r>
      <w:t xml:space="preserve">Konsekvenser av endringer i CV                          22.05.07b   Ove A.Pedersen                            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0350A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30350A">
      <w:rPr>
        <w:rStyle w:val="Sidetall"/>
        <w:noProof/>
      </w:rPr>
      <w:t>8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72" w:rsidRDefault="00FB6372">
      <w:r>
        <w:separator/>
      </w:r>
    </w:p>
  </w:footnote>
  <w:footnote w:type="continuationSeparator" w:id="0">
    <w:p w:rsidR="00FB6372" w:rsidRDefault="00FB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ED2"/>
    <w:rsid w:val="000A4D1C"/>
    <w:rsid w:val="001D6837"/>
    <w:rsid w:val="00295185"/>
    <w:rsid w:val="0030350A"/>
    <w:rsid w:val="00324B77"/>
    <w:rsid w:val="003279FF"/>
    <w:rsid w:val="005B78FB"/>
    <w:rsid w:val="006444DF"/>
    <w:rsid w:val="006C7379"/>
    <w:rsid w:val="007379D3"/>
    <w:rsid w:val="007F39D9"/>
    <w:rsid w:val="008D7101"/>
    <w:rsid w:val="0091716E"/>
    <w:rsid w:val="009720B9"/>
    <w:rsid w:val="009A4BA5"/>
    <w:rsid w:val="009B5EC4"/>
    <w:rsid w:val="00AB4571"/>
    <w:rsid w:val="00B20839"/>
    <w:rsid w:val="00BF6C1F"/>
    <w:rsid w:val="00C03ED2"/>
    <w:rsid w:val="00C2462B"/>
    <w:rsid w:val="00CC3EB5"/>
    <w:rsid w:val="00D01FB3"/>
    <w:rsid w:val="00D762BF"/>
    <w:rsid w:val="00DB508C"/>
    <w:rsid w:val="00DC4F5C"/>
    <w:rsid w:val="00E24170"/>
    <w:rsid w:val="00FB6372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3A7007-7A25-4D7B-87E3-5404E74D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customStyle="1" w:styleId="xl24">
    <w:name w:val="xl24"/>
    <w:basedOn w:val="Normal"/>
    <w:pPr>
      <w:shd w:val="clear" w:color="auto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27">
    <w:name w:val="xl2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0">
    <w:name w:val="xl30"/>
    <w:basedOn w:val="Normal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31">
    <w:name w:val="xl31"/>
    <w:basedOn w:val="Normal"/>
    <w:pPr>
      <w:pBdr>
        <w:bottom w:val="double" w:sz="6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2">
    <w:name w:val="xl32"/>
    <w:basedOn w:val="Normal"/>
    <w:pPr>
      <w:pBdr>
        <w:bottom w:val="double" w:sz="6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3">
    <w:name w:val="xl33"/>
    <w:basedOn w:val="Normal"/>
    <w:pPr>
      <w:pBdr>
        <w:bottom w:val="double" w:sz="6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4">
    <w:name w:val="xl34"/>
    <w:basedOn w:val="Normal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35">
    <w:name w:val="xl35"/>
    <w:basedOn w:val="Normal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6">
    <w:name w:val="xl36"/>
    <w:basedOn w:val="Normal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7">
    <w:name w:val="xl37"/>
    <w:basedOn w:val="Normal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8">
    <w:name w:val="xl38"/>
    <w:basedOn w:val="Normal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Cs w:val="24"/>
    </w:rPr>
  </w:style>
  <w:style w:type="paragraph" w:styleId="Brdtekst">
    <w:name w:val="Body Text"/>
    <w:basedOn w:val="Normal"/>
    <w:rPr>
      <w:b/>
      <w:bCs/>
      <w:sz w:val="32"/>
    </w:rPr>
  </w:style>
  <w:style w:type="paragraph" w:styleId="Brdtekst2">
    <w:name w:val="Body Text 2"/>
    <w:basedOn w:val="Normal"/>
    <w:rPr>
      <w:b/>
      <w:b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xl40">
    <w:name w:val="xl40"/>
    <w:basedOn w:val="Normal"/>
    <w:pP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41">
    <w:name w:val="xl41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42">
    <w:name w:val="xl42"/>
    <w:basedOn w:val="Normal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43">
    <w:name w:val="xl43"/>
    <w:basedOn w:val="Normal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styleId="Bobletekst">
    <w:name w:val="Balloon Text"/>
    <w:basedOn w:val="Normal"/>
    <w:semiHidden/>
    <w:rsid w:val="00644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Hva kan skje etter at KR er etablert:</vt:lpstr>
    </vt:vector>
  </TitlesOfParts>
  <Company>HNT</Company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 kan skje etter at KR er etablert:</dc:title>
  <dc:subject/>
  <dc:creator>ovpedersen</dc:creator>
  <cp:keywords/>
  <dc:description/>
  <cp:lastModifiedBy>Folden, Anne Britt</cp:lastModifiedBy>
  <cp:revision>2</cp:revision>
  <cp:lastPrinted>2007-05-22T12:53:00Z</cp:lastPrinted>
  <dcterms:created xsi:type="dcterms:W3CDTF">2022-03-01T06:49:00Z</dcterms:created>
  <dcterms:modified xsi:type="dcterms:W3CDTF">2022-03-01T06:49:00Z</dcterms:modified>
</cp:coreProperties>
</file>